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w w:val="90"/>
          <w:sz w:val="72"/>
          <w:szCs w:val="72"/>
        </w:rPr>
      </w:pPr>
      <w:r>
        <w:rPr>
          <w:rFonts w:hint="eastAsia" w:ascii="黑体" w:hAnsi="黑体" w:eastAsia="黑体" w:cs="黑体"/>
          <w:sz w:val="72"/>
          <w:szCs w:val="72"/>
          <w:lang w:val="en-US" w:eastAsia="zh-CN"/>
        </w:rPr>
        <w:t xml:space="preserve">山东省 </w:t>
      </w:r>
      <w:r>
        <w:rPr>
          <w:rFonts w:hint="eastAsia" w:ascii="黑体" w:hAnsi="黑体" w:eastAsia="黑体" w:cs="黑体"/>
          <w:sz w:val="72"/>
          <w:szCs w:val="72"/>
        </w:rPr>
        <w:t>职业院校技能大赛</w:t>
      </w:r>
    </w:p>
    <w:p>
      <w:pPr>
        <w:snapToGrid w:val="0"/>
        <w:spacing w:line="510" w:lineRule="atLeast"/>
        <w:jc w:val="center"/>
        <w:rPr>
          <w:rFonts w:eastAsia="黑体"/>
        </w:rPr>
      </w:pPr>
      <w:r>
        <w:rPr>
          <w:rFonts w:hint="eastAsia" w:ascii="黑体" w:hAnsi="黑体" w:eastAsia="黑体" w:cs="黑体"/>
          <w:sz w:val="72"/>
          <w:szCs w:val="72"/>
        </w:rPr>
        <w:t>竞赛任务书 赛题五</w:t>
      </w:r>
    </w:p>
    <w:p>
      <w:pPr>
        <w:snapToGrid w:val="0"/>
        <w:spacing w:line="510" w:lineRule="atLeast"/>
        <w:jc w:val="center"/>
        <w:rPr>
          <w:rFonts w:ascii="方正小标宋简体" w:hAnsi="方正小标宋简体" w:eastAsia="方正小标宋简体" w:cs="方正小标宋简体"/>
          <w:sz w:val="52"/>
          <w:szCs w:val="52"/>
        </w:rPr>
      </w:pPr>
    </w:p>
    <w:p>
      <w:pPr>
        <w:snapToGrid w:val="0"/>
        <w:spacing w:line="532"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pacing w:line="800" w:lineRule="exact"/>
        <w:ind w:left="839"/>
        <w:rPr>
          <w:rFonts w:ascii="黑体" w:hAnsi="黑体" w:eastAsia="黑体" w:cs="黑体"/>
          <w:sz w:val="32"/>
          <w:szCs w:val="24"/>
          <w:u w:val="single"/>
        </w:rPr>
      </w:pPr>
      <w:r>
        <w:rPr>
          <w:rFonts w:hint="eastAsia" w:ascii="黑体" w:hAnsi="黑体" w:eastAsia="黑体" w:cs="黑体"/>
          <w:sz w:val="32"/>
          <w:szCs w:val="24"/>
        </w:rPr>
        <w:t>赛项名称：</w:t>
      </w:r>
      <w:r>
        <w:rPr>
          <w:rFonts w:hint="eastAsia" w:ascii="黑体" w:hAnsi="黑体" w:eastAsia="黑体" w:cs="黑体"/>
          <w:sz w:val="32"/>
          <w:szCs w:val="24"/>
          <w:u w:val="single"/>
        </w:rPr>
        <w:t xml:space="preserve">     工业网络智能控制与维护     </w:t>
      </w:r>
    </w:p>
    <w:p>
      <w:pPr>
        <w:spacing w:line="800" w:lineRule="exact"/>
        <w:ind w:left="839"/>
        <w:jc w:val="left"/>
        <w:rPr>
          <w:rFonts w:ascii="Arial" w:hAnsi="Arial" w:eastAsia="黑体" w:cs="Arial"/>
          <w:sz w:val="32"/>
          <w:szCs w:val="24"/>
          <w:u w:val="single"/>
        </w:rPr>
      </w:pPr>
      <w:r>
        <w:rPr>
          <w:rFonts w:hint="eastAsia" w:ascii="黑体" w:hAnsi="黑体" w:eastAsia="黑体" w:cs="黑体"/>
          <w:sz w:val="32"/>
          <w:szCs w:val="24"/>
        </w:rPr>
        <w:t>英文名称：</w:t>
      </w:r>
      <w:r>
        <w:rPr>
          <w:rFonts w:ascii="Arial" w:hAnsi="Arial" w:eastAsia="黑体" w:cs="Arial"/>
          <w:sz w:val="32"/>
          <w:szCs w:val="24"/>
          <w:u w:val="single"/>
        </w:rPr>
        <w:t>Intelligent</w:t>
      </w:r>
      <w:r>
        <w:rPr>
          <w:rFonts w:hint="eastAsia" w:ascii="Arial" w:hAnsi="Arial" w:eastAsia="黑体" w:cs="Arial"/>
          <w:sz w:val="32"/>
          <w:szCs w:val="24"/>
          <w:u w:val="single"/>
        </w:rPr>
        <w:t xml:space="preserve"> </w:t>
      </w:r>
      <w:r>
        <w:rPr>
          <w:rFonts w:ascii="Arial" w:hAnsi="Arial" w:eastAsia="黑体" w:cs="Arial"/>
          <w:sz w:val="32"/>
          <w:szCs w:val="24"/>
          <w:u w:val="single"/>
        </w:rPr>
        <w:t>Control</w:t>
      </w:r>
      <w:r>
        <w:rPr>
          <w:rFonts w:hint="eastAsia" w:ascii="Arial" w:hAnsi="Arial" w:eastAsia="黑体" w:cs="Arial"/>
          <w:sz w:val="32"/>
          <w:szCs w:val="24"/>
          <w:u w:val="single"/>
        </w:rPr>
        <w:t xml:space="preserve"> </w:t>
      </w:r>
      <w:r>
        <w:rPr>
          <w:rFonts w:ascii="Arial" w:hAnsi="Arial" w:eastAsia="黑体" w:cs="Arial"/>
          <w:sz w:val="32"/>
          <w:szCs w:val="24"/>
          <w:u w:val="single"/>
        </w:rPr>
        <w:t>and</w:t>
      </w:r>
      <w:r>
        <w:rPr>
          <w:rFonts w:hint="eastAsia" w:ascii="Arial" w:hAnsi="Arial" w:eastAsia="黑体" w:cs="Arial"/>
          <w:sz w:val="32"/>
          <w:szCs w:val="24"/>
          <w:u w:val="single"/>
        </w:rPr>
        <w:t xml:space="preserve"> </w:t>
      </w:r>
      <w:r>
        <w:rPr>
          <w:rFonts w:ascii="Arial" w:hAnsi="Arial" w:eastAsia="黑体" w:cs="Arial"/>
          <w:sz w:val="32"/>
          <w:szCs w:val="24"/>
          <w:u w:val="single"/>
        </w:rPr>
        <w:t>Maintena</w:t>
      </w:r>
      <w:r>
        <w:rPr>
          <w:rFonts w:hint="eastAsia" w:ascii="Arial" w:hAnsi="Arial" w:eastAsia="黑体" w:cs="Arial"/>
          <w:sz w:val="32"/>
          <w:szCs w:val="24"/>
          <w:u w:val="single"/>
        </w:rPr>
        <w:t>n</w:t>
      </w:r>
      <w:r>
        <w:rPr>
          <w:rFonts w:ascii="Arial" w:hAnsi="Arial" w:eastAsia="黑体" w:cs="Arial"/>
          <w:sz w:val="32"/>
          <w:szCs w:val="24"/>
          <w:u w:val="single"/>
        </w:rPr>
        <w:t>ce</w:t>
      </w:r>
      <w:r>
        <w:rPr>
          <w:rFonts w:hint="eastAsia" w:ascii="Arial" w:hAnsi="Arial" w:eastAsia="黑体" w:cs="Arial"/>
          <w:sz w:val="32"/>
          <w:szCs w:val="24"/>
          <w:u w:val="single"/>
        </w:rPr>
        <w:t xml:space="preserve"> </w:t>
      </w:r>
    </w:p>
    <w:p>
      <w:pPr>
        <w:spacing w:line="800" w:lineRule="exact"/>
        <w:ind w:left="839" w:firstLine="1600" w:firstLineChars="500"/>
        <w:jc w:val="left"/>
        <w:rPr>
          <w:rFonts w:ascii="黑体" w:hAnsi="黑体" w:eastAsia="黑体" w:cs="黑体"/>
          <w:sz w:val="32"/>
          <w:szCs w:val="24"/>
        </w:rPr>
      </w:pPr>
      <w:r>
        <w:rPr>
          <w:rFonts w:hint="eastAsia" w:ascii="Arial" w:hAnsi="Arial" w:eastAsia="黑体" w:cs="Arial"/>
          <w:sz w:val="32"/>
          <w:szCs w:val="24"/>
          <w:u w:val="single"/>
        </w:rPr>
        <w:t xml:space="preserve">       </w:t>
      </w:r>
      <w:r>
        <w:rPr>
          <w:rFonts w:ascii="Arial" w:hAnsi="Arial" w:eastAsia="黑体" w:cs="Arial"/>
          <w:sz w:val="32"/>
          <w:szCs w:val="24"/>
          <w:u w:val="single"/>
        </w:rPr>
        <w:t>of</w:t>
      </w:r>
      <w:r>
        <w:rPr>
          <w:rFonts w:hint="eastAsia" w:ascii="Arial" w:hAnsi="Arial" w:eastAsia="黑体" w:cs="Arial"/>
          <w:sz w:val="32"/>
          <w:szCs w:val="24"/>
          <w:u w:val="single"/>
        </w:rPr>
        <w:t xml:space="preserve"> </w:t>
      </w:r>
      <w:r>
        <w:rPr>
          <w:rFonts w:ascii="Arial" w:hAnsi="Arial" w:eastAsia="黑体" w:cs="Arial"/>
          <w:sz w:val="32"/>
          <w:szCs w:val="24"/>
          <w:u w:val="single"/>
        </w:rPr>
        <w:t>Industrial</w:t>
      </w:r>
      <w:r>
        <w:rPr>
          <w:rFonts w:hint="eastAsia" w:ascii="Arial" w:hAnsi="Arial" w:eastAsia="黑体" w:cs="Arial"/>
          <w:sz w:val="32"/>
          <w:szCs w:val="24"/>
          <w:u w:val="single"/>
        </w:rPr>
        <w:t xml:space="preserve"> </w:t>
      </w:r>
      <w:r>
        <w:rPr>
          <w:rFonts w:ascii="Arial" w:hAnsi="Arial" w:eastAsia="黑体" w:cs="Arial"/>
          <w:sz w:val="32"/>
          <w:szCs w:val="24"/>
          <w:u w:val="single"/>
        </w:rPr>
        <w:t>Networks</w:t>
      </w:r>
      <w:r>
        <w:rPr>
          <w:rFonts w:hint="eastAsia" w:ascii="Arial" w:hAnsi="Arial" w:eastAsia="黑体" w:cs="Arial"/>
          <w:sz w:val="32"/>
          <w:szCs w:val="24"/>
          <w:u w:val="single"/>
        </w:rPr>
        <w:t xml:space="preserve">      </w:t>
      </w:r>
    </w:p>
    <w:p>
      <w:pPr>
        <w:spacing w:line="800" w:lineRule="exact"/>
        <w:ind w:left="839"/>
        <w:rPr>
          <w:rFonts w:ascii="黑体" w:hAnsi="黑体" w:eastAsia="黑体" w:cs="黑体"/>
          <w:sz w:val="32"/>
          <w:szCs w:val="24"/>
        </w:rPr>
      </w:pPr>
      <w:r>
        <w:rPr>
          <w:rFonts w:hint="eastAsia" w:ascii="黑体" w:hAnsi="黑体" w:eastAsia="黑体" w:cs="黑体"/>
          <w:sz w:val="32"/>
          <w:szCs w:val="24"/>
        </w:rPr>
        <w:t>赛项组别：</w:t>
      </w:r>
      <w:r>
        <w:rPr>
          <w:rFonts w:hint="eastAsia" w:ascii="黑体" w:hAnsi="黑体" w:eastAsia="黑体" w:cs="黑体"/>
          <w:sz w:val="32"/>
          <w:szCs w:val="24"/>
          <w:u w:val="single"/>
        </w:rPr>
        <w:t xml:space="preserve">     高等职业教育（学生赛）     </w:t>
      </w:r>
    </w:p>
    <w:p>
      <w:pPr>
        <w:spacing w:line="800" w:lineRule="exact"/>
        <w:ind w:left="839"/>
        <w:rPr>
          <w:rFonts w:ascii="黑体" w:hAnsi="黑体" w:eastAsia="黑体" w:cs="黑体"/>
          <w:sz w:val="32"/>
          <w:szCs w:val="24"/>
        </w:rPr>
      </w:pPr>
      <w:r>
        <w:rPr>
          <w:rFonts w:hint="eastAsia" w:ascii="黑体" w:hAnsi="黑体" w:eastAsia="黑体" w:cs="黑体"/>
          <w:sz w:val="32"/>
          <w:szCs w:val="24"/>
        </w:rPr>
        <w:t>赛项编号：</w:t>
      </w:r>
      <w:r>
        <w:rPr>
          <w:rFonts w:hint="eastAsia" w:ascii="黑体" w:hAnsi="黑体" w:eastAsia="黑体" w:cs="黑体"/>
          <w:sz w:val="32"/>
          <w:szCs w:val="24"/>
          <w:u w:val="single"/>
        </w:rPr>
        <w:t xml:space="preserve">             GZ016              </w:t>
      </w:r>
    </w:p>
    <w:p>
      <w:pPr>
        <w:jc w:val="center"/>
        <w:rPr>
          <w:rFonts w:ascii="Times New Roman" w:hAnsi="Times New Roman" w:eastAsia="宋体" w:cs="Times New Roman"/>
          <w:sz w:val="30"/>
        </w:rPr>
      </w:pPr>
    </w:p>
    <w:p>
      <w:pPr>
        <w:jc w:val="center"/>
        <w:rPr>
          <w:rFonts w:ascii="Times New Roman" w:hAnsi="Times New Roman" w:eastAsia="宋体" w:cs="Times New Roman"/>
          <w:sz w:val="30"/>
        </w:rPr>
      </w:pPr>
    </w:p>
    <w:p>
      <w:pPr>
        <w:widowControl/>
        <w:jc w:val="left"/>
        <w:rPr>
          <w:rFonts w:ascii="黑体" w:hAnsi="Times New Roman" w:eastAsia="黑体" w:cs="Times New Roman"/>
          <w:sz w:val="24"/>
        </w:rPr>
      </w:pPr>
    </w:p>
    <w:p>
      <w:pPr>
        <w:rPr>
          <w:b/>
          <w:bCs/>
          <w:sz w:val="48"/>
          <w:szCs w:val="48"/>
        </w:rPr>
      </w:pPr>
      <w:r>
        <w:rPr>
          <w:rFonts w:hint="eastAsia"/>
          <w:b/>
          <w:bCs/>
          <w:sz w:val="48"/>
          <w:szCs w:val="48"/>
        </w:rPr>
        <w:br w:type="page"/>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2023年</w:t>
      </w:r>
      <w:r>
        <w:rPr>
          <w:rFonts w:hint="eastAsia" w:ascii="黑体" w:hAnsi="黑体" w:eastAsia="黑体" w:cs="黑体"/>
          <w:b/>
          <w:bCs/>
          <w:spacing w:val="1"/>
          <w:sz w:val="44"/>
          <w:szCs w:val="44"/>
          <w:lang w:val="en-US" w:eastAsia="zh-CN"/>
        </w:rPr>
        <w:t>山东省</w:t>
      </w:r>
      <w:bookmarkStart w:id="6" w:name="_GoBack"/>
      <w:bookmarkEnd w:id="6"/>
      <w:r>
        <w:rPr>
          <w:rFonts w:hint="eastAsia" w:ascii="黑体" w:hAnsi="黑体" w:eastAsia="黑体" w:cs="黑体"/>
          <w:b/>
          <w:bCs/>
          <w:spacing w:val="1"/>
          <w:sz w:val="44"/>
          <w:szCs w:val="44"/>
        </w:rPr>
        <w:t xml:space="preserve">职业院校技能大赛高职组 </w:t>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 xml:space="preserve">“工业网络智能控制与维护”赛项（学生赛） </w:t>
      </w:r>
    </w:p>
    <w:p>
      <w:pPr>
        <w:spacing w:before="312" w:beforeLines="100" w:after="312" w:afterLines="100" w:line="360" w:lineRule="auto"/>
        <w:jc w:val="center"/>
        <w:rPr>
          <w:rFonts w:ascii="黑体" w:hAnsi="黑体" w:eastAsia="黑体" w:cs="黑体"/>
          <w:b/>
          <w:bCs/>
          <w:spacing w:val="1"/>
          <w:sz w:val="44"/>
          <w:szCs w:val="44"/>
        </w:rPr>
      </w:pPr>
      <w:r>
        <w:rPr>
          <w:rFonts w:hint="eastAsia" w:ascii="黑体" w:hAnsi="黑体" w:eastAsia="黑体" w:cs="黑体"/>
          <w:b/>
          <w:bCs/>
          <w:spacing w:val="1"/>
          <w:sz w:val="44"/>
          <w:szCs w:val="44"/>
        </w:rPr>
        <w:t>赛题五</w:t>
      </w:r>
    </w:p>
    <w:p>
      <w:pPr>
        <w:spacing w:before="312" w:beforeLines="100" w:after="312" w:afterLines="100" w:line="360" w:lineRule="auto"/>
        <w:jc w:val="center"/>
        <w:rPr>
          <w:rFonts w:eastAsia="黑体"/>
          <w:b/>
          <w:bCs/>
          <w:sz w:val="48"/>
          <w:szCs w:val="48"/>
        </w:rPr>
      </w:pPr>
    </w:p>
    <w:p>
      <w:pPr>
        <w:spacing w:line="360" w:lineRule="auto"/>
        <w:rPr>
          <w:b/>
          <w:bCs/>
          <w:sz w:val="32"/>
          <w:szCs w:val="32"/>
        </w:rPr>
      </w:pPr>
      <w:r>
        <w:rPr>
          <w:b/>
          <w:bCs/>
          <w:sz w:val="32"/>
          <w:szCs w:val="32"/>
        </w:rPr>
        <w:t>选手须知：</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1.任务书共</w:t>
      </w:r>
      <w:r>
        <w:rPr>
          <w:rFonts w:eastAsia="仿宋GB2312"/>
          <w:color w:val="000000"/>
          <w:spacing w:val="4"/>
          <w:kern w:val="0"/>
          <w:sz w:val="28"/>
          <w:szCs w:val="28"/>
          <w:u w:val="single"/>
        </w:rPr>
        <w:t xml:space="preserve"> 12 </w:t>
      </w:r>
      <w:r>
        <w:rPr>
          <w:rFonts w:eastAsia="仿宋GB2312"/>
          <w:color w:val="000000"/>
          <w:spacing w:val="4"/>
          <w:kern w:val="0"/>
          <w:sz w:val="28"/>
          <w:szCs w:val="28"/>
          <w:lang w:val="zh-Hans"/>
        </w:rPr>
        <w:t>页，如出现任务书缺页、字迹不清等问题，请及时向裁判申请更换任务书。</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2.参赛队应在</w:t>
      </w:r>
      <w:r>
        <w:rPr>
          <w:rFonts w:eastAsia="仿宋GB2312"/>
          <w:color w:val="000000"/>
          <w:spacing w:val="4"/>
          <w:kern w:val="0"/>
          <w:sz w:val="28"/>
          <w:szCs w:val="28"/>
          <w:u w:val="single"/>
          <w:lang w:val="zh-Hans"/>
        </w:rPr>
        <w:t xml:space="preserve"> </w:t>
      </w:r>
      <w:r>
        <w:rPr>
          <w:rFonts w:hint="eastAsia" w:eastAsia="仿宋GB2312"/>
          <w:color w:val="000000"/>
          <w:spacing w:val="4"/>
          <w:kern w:val="0"/>
          <w:sz w:val="28"/>
          <w:szCs w:val="28"/>
          <w:u w:val="single"/>
          <w:lang w:val="zh-Hans"/>
        </w:rPr>
        <w:t>6</w:t>
      </w:r>
      <w:r>
        <w:rPr>
          <w:rFonts w:eastAsia="仿宋GB2312"/>
          <w:color w:val="000000"/>
          <w:spacing w:val="4"/>
          <w:kern w:val="0"/>
          <w:sz w:val="28"/>
          <w:szCs w:val="28"/>
          <w:u w:val="single"/>
          <w:lang w:val="zh-Hans"/>
        </w:rPr>
        <w:t xml:space="preserve"> </w:t>
      </w:r>
      <w:r>
        <w:rPr>
          <w:rFonts w:eastAsia="仿宋GB2312"/>
          <w:color w:val="000000"/>
          <w:spacing w:val="4"/>
          <w:kern w:val="0"/>
          <w:sz w:val="28"/>
          <w:szCs w:val="28"/>
          <w:lang w:val="zh-Hans"/>
        </w:rPr>
        <w:t>小时内完成任务书规定内容。</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3</w:t>
      </w:r>
      <w:r>
        <w:rPr>
          <w:rFonts w:eastAsia="仿宋GB2312"/>
          <w:color w:val="000000"/>
          <w:spacing w:val="4"/>
          <w:kern w:val="0"/>
          <w:sz w:val="28"/>
          <w:szCs w:val="28"/>
          <w:lang w:val="zh-Hans"/>
        </w:rPr>
        <w:t>.竞赛过程配有两台编程计算机，参考资料（使用手册、使用说明书、IO变量表）以.pdf 格式放置在“E:\参考资料”文件夹下。</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4</w:t>
      </w:r>
      <w:r>
        <w:rPr>
          <w:rFonts w:eastAsia="仿宋GB2312"/>
          <w:color w:val="000000"/>
          <w:spacing w:val="4"/>
          <w:kern w:val="0"/>
          <w:sz w:val="28"/>
          <w:szCs w:val="28"/>
          <w:lang w:val="zh-Hans"/>
        </w:rPr>
        <w:t>.选手在竞赛过程中创建的程序文件必须存储到“D:\赛位号”文件夹下，未存储到指定位置的运行记录或程序文件均不予给分。</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5</w:t>
      </w:r>
      <w:r>
        <w:rPr>
          <w:rFonts w:eastAsia="仿宋GB2312"/>
          <w:color w:val="000000"/>
          <w:spacing w:val="4"/>
          <w:kern w:val="0"/>
          <w:sz w:val="28"/>
          <w:szCs w:val="28"/>
          <w:lang w:val="zh-Hans"/>
        </w:rPr>
        <w:t>.选手提交的试卷不得出现学校、姓名等与身份有关的信息，否则成绩无效。</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6</w:t>
      </w:r>
      <w:r>
        <w:rPr>
          <w:rFonts w:eastAsia="仿宋GB2312"/>
          <w:color w:val="000000"/>
          <w:spacing w:val="4"/>
          <w:kern w:val="0"/>
          <w:sz w:val="28"/>
          <w:szCs w:val="28"/>
          <w:lang w:val="zh-Hans"/>
        </w:rPr>
        <w:t>.每一个任务的初始状态和具体测试要求根据评判要求在开赛时、任务评分前或任务评分时给定。</w:t>
      </w:r>
    </w:p>
    <w:p>
      <w:pPr>
        <w:widowControl/>
        <w:spacing w:line="560" w:lineRule="exact"/>
        <w:ind w:firstLine="576" w:firstLineChars="200"/>
        <w:rPr>
          <w:rFonts w:ascii="Arial" w:hAnsi="Arial" w:eastAsia="仿宋GB2312" w:cs="Arial"/>
          <w:color w:val="000000"/>
          <w:spacing w:val="4"/>
          <w:kern w:val="0"/>
          <w:sz w:val="28"/>
          <w:szCs w:val="28"/>
          <w:lang w:val="zh-Hans"/>
        </w:rPr>
      </w:pPr>
      <w:r>
        <w:rPr>
          <w:rFonts w:eastAsia="仿宋GB2312"/>
          <w:color w:val="000000"/>
          <w:spacing w:val="4"/>
          <w:kern w:val="0"/>
          <w:sz w:val="28"/>
          <w:szCs w:val="28"/>
        </w:rPr>
        <w:t>7</w:t>
      </w:r>
      <w:r>
        <w:rPr>
          <w:rFonts w:eastAsia="仿宋GB2312"/>
          <w:color w:val="000000"/>
          <w:spacing w:val="4"/>
          <w:kern w:val="0"/>
          <w:sz w:val="28"/>
          <w:szCs w:val="28"/>
          <w:lang w:val="zh-Hans"/>
        </w:rPr>
        <w:t>.在完成任务过程中，请及时保存程序及数据。</w:t>
      </w:r>
      <w:r>
        <w:rPr>
          <w:rFonts w:ascii="Arial" w:hAnsi="Arial" w:eastAsia="仿宋GB2312" w:cs="Arial"/>
          <w:color w:val="000000"/>
          <w:spacing w:val="4"/>
          <w:kern w:val="0"/>
          <w:sz w:val="28"/>
          <w:szCs w:val="28"/>
          <w:lang w:val="zh-Hans"/>
        </w:rPr>
        <w:t xml:space="preserve"> </w:t>
      </w:r>
    </w:p>
    <w:p>
      <w:pPr>
        <w:pStyle w:val="7"/>
        <w:ind w:left="0" w:leftChars="0" w:firstLine="0" w:firstLineChars="0"/>
        <w:rPr>
          <w:rFonts w:ascii="仿宋GB2312" w:hAnsi="仿宋GB2312" w:eastAsia="仿宋GB2312" w:cs="仿宋GB2312"/>
          <w:b/>
          <w:bCs/>
          <w:color w:val="000000"/>
          <w:spacing w:val="4"/>
          <w:sz w:val="28"/>
          <w:szCs w:val="28"/>
        </w:rPr>
      </w:pPr>
    </w:p>
    <w:p>
      <w:pPr>
        <w:pStyle w:val="7"/>
        <w:ind w:left="0" w:leftChars="0" w:firstLine="0" w:firstLineChars="0"/>
        <w:rPr>
          <w:rFonts w:ascii="仿宋GB2312" w:hAnsi="仿宋GB2312" w:eastAsia="仿宋GB2312" w:cs="仿宋GB2312"/>
          <w:b/>
          <w:bCs/>
          <w:color w:val="000000"/>
          <w:spacing w:val="4"/>
          <w:sz w:val="28"/>
          <w:szCs w:val="28"/>
        </w:rPr>
      </w:pPr>
    </w:p>
    <w:p>
      <w:pPr>
        <w:pStyle w:val="7"/>
        <w:ind w:left="0" w:leftChars="0" w:firstLine="0" w:firstLineChars="0"/>
        <w:rPr>
          <w:rFonts w:ascii="仿宋GB2312" w:hAnsi="仿宋GB2312" w:eastAsia="仿宋GB2312" w:cs="仿宋GB2312"/>
          <w:b/>
          <w:bCs/>
          <w:color w:val="000000"/>
          <w:spacing w:val="4"/>
          <w:sz w:val="28"/>
          <w:szCs w:val="28"/>
        </w:rPr>
      </w:pPr>
      <w:r>
        <w:rPr>
          <w:rFonts w:hint="eastAsia" w:ascii="仿宋GB2312" w:hAnsi="仿宋GB2312" w:eastAsia="仿宋GB2312" w:cs="仿宋GB2312"/>
          <w:b/>
          <w:bCs/>
          <w:color w:val="000000"/>
          <w:spacing w:val="4"/>
          <w:sz w:val="28"/>
          <w:szCs w:val="28"/>
        </w:rPr>
        <w:t>竞赛场次：第</w:t>
      </w:r>
      <w:r>
        <w:rPr>
          <w:rFonts w:hint="eastAsia" w:ascii="仿宋GB2312" w:hAnsi="仿宋GB2312" w:eastAsia="仿宋GB2312" w:cs="仿宋GB2312"/>
          <w:b/>
          <w:bCs/>
          <w:color w:val="000000"/>
          <w:spacing w:val="4"/>
          <w:sz w:val="28"/>
          <w:szCs w:val="28"/>
          <w:u w:val="single"/>
        </w:rPr>
        <w:t xml:space="preserve">   </w:t>
      </w:r>
      <w:r>
        <w:rPr>
          <w:rFonts w:hint="eastAsia" w:ascii="仿宋GB2312" w:hAnsi="仿宋GB2312" w:eastAsia="仿宋GB2312" w:cs="仿宋GB2312"/>
          <w:b/>
          <w:bCs/>
          <w:color w:val="000000"/>
          <w:spacing w:val="4"/>
          <w:sz w:val="28"/>
          <w:szCs w:val="28"/>
        </w:rPr>
        <w:t>场                         赛位号：第</w:t>
      </w:r>
      <w:r>
        <w:rPr>
          <w:rFonts w:hint="eastAsia" w:ascii="仿宋GB2312" w:hAnsi="仿宋GB2312" w:eastAsia="仿宋GB2312" w:cs="仿宋GB2312"/>
          <w:b/>
          <w:bCs/>
          <w:color w:val="000000"/>
          <w:spacing w:val="4"/>
          <w:sz w:val="28"/>
          <w:szCs w:val="28"/>
          <w:u w:val="single"/>
        </w:rPr>
        <w:t xml:space="preserve">   </w:t>
      </w:r>
      <w:r>
        <w:rPr>
          <w:rFonts w:hint="eastAsia" w:ascii="仿宋GB2312" w:hAnsi="仿宋GB2312" w:eastAsia="仿宋GB2312" w:cs="仿宋GB2312"/>
          <w:b/>
          <w:bCs/>
          <w:color w:val="000000"/>
          <w:spacing w:val="4"/>
          <w:sz w:val="28"/>
          <w:szCs w:val="28"/>
        </w:rPr>
        <w:t>号</w:t>
      </w:r>
    </w:p>
    <w:p>
      <w:pPr>
        <w:spacing w:before="156" w:beforeLines="50" w:after="156" w:afterLines="50" w:line="360" w:lineRule="auto"/>
        <w:jc w:val="center"/>
        <w:rPr>
          <w:rFonts w:ascii="黑体" w:hAnsi="黑体" w:eastAsia="黑体" w:cs="黑体"/>
          <w:sz w:val="36"/>
          <w:szCs w:val="36"/>
        </w:rPr>
      </w:pPr>
      <w:r>
        <w:rPr>
          <w:rFonts w:hint="eastAsia" w:ascii="黑体" w:hAnsi="黑体" w:eastAsia="黑体" w:cs="黑体"/>
          <w:sz w:val="36"/>
          <w:szCs w:val="36"/>
        </w:rPr>
        <w:t>基于工业网络控制的工件自动装配生产线</w:t>
      </w:r>
    </w:p>
    <w:p>
      <w:pPr>
        <w:spacing w:before="156" w:beforeLines="50" w:after="156" w:afterLines="50" w:line="360" w:lineRule="auto"/>
        <w:rPr>
          <w:rFonts w:ascii="黑体" w:hAnsi="黑体" w:eastAsia="黑体" w:cs="黑体"/>
          <w:b/>
          <w:bCs/>
          <w:sz w:val="32"/>
          <w:szCs w:val="32"/>
        </w:rPr>
      </w:pPr>
      <w:r>
        <w:rPr>
          <w:rFonts w:hint="eastAsia" w:ascii="黑体" w:hAnsi="黑体" w:eastAsia="黑体" w:cs="黑体"/>
          <w:b/>
          <w:bCs/>
          <w:sz w:val="32"/>
          <w:szCs w:val="32"/>
        </w:rPr>
        <w:t>一、平台概述</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本比赛项目需通过物理平台达成考察目标，平台为一条简易工业网络零部件装配检测生产线。整个生产线系统由四部分构成：工业控制网络、现场工作站、控制系统单元和感知执行单元，每个部分均配有通信系统接口，组网实现整个生产线的互联互通。现场感知执行单元配有人机交互模块（触摸屏），并应配有无线通信接口（如WIFI、FRID）或生物信息识别功能，可实现身份验证，保证系统安全和产品信息溯源。生产线软件系统包括用于生产线设计的工业网络控制架构设计系统、工业网络仿真软件和生产管理（MES）系统。控制系统单元集成包括PLC、变频器、伺服控制器、中间继电器等电气部件；感知执行单元包括各种传感器、执行部件、现场触摸控制屏、显示屏和物料仓等，集成于一个平台上，用于模仿生产制造车间现实环境。各类传感器用于感知监测物理量的状态，为系统决策与执行提供信息；各执行部件执行系统的控制命令，完成既定的动作。送料B中的工件内部植入FRID芯片，便于产品质量溯源，送料A、B模块均采用气缸推送方式，外观缺陷检测采用视觉检测，成品搬移采用三轴线性运动抓取机构。该系统能够完成送料、装配、尺寸（高度）检测和分拣、外观（视觉颜色、缺陷）检测分拣、FRID产品信息录入、合格成品搬移入库等功能。整个生产过程在生产管理（MES）系统监控下自动完成。</w:t>
      </w:r>
    </w:p>
    <w:p>
      <w:pPr>
        <w:spacing w:before="156" w:beforeLines="50" w:after="156" w:afterLines="50" w:line="360" w:lineRule="auto"/>
        <w:rPr>
          <w:rFonts w:ascii="黑体" w:hAnsi="黑体" w:eastAsia="黑体" w:cs="黑体"/>
          <w:b/>
          <w:bCs/>
          <w:sz w:val="32"/>
          <w:szCs w:val="32"/>
        </w:rPr>
      </w:pPr>
      <w:r>
        <w:rPr>
          <w:rFonts w:hint="eastAsia" w:ascii="黑体" w:hAnsi="黑体" w:eastAsia="黑体" w:cs="黑体"/>
          <w:b/>
          <w:bCs/>
          <w:sz w:val="32"/>
          <w:szCs w:val="32"/>
        </w:rPr>
        <w:t>二、任务要求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根据任务书功能要求进行系统方案设计，完成后填写设备选型设计表。</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总体任务是设计并利用现场提供设备组网完成一个远程网络控制下的两个工件自动组装生产线，两个工件分别是外料和内料，内料植入FRID芯片记录产品信息。分项任务如下：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1</w:t>
      </w:r>
      <w:r>
        <w:rPr>
          <w:rFonts w:hint="eastAsia" w:ascii="Times New Roman" w:hAnsi="Times New Roman" w:eastAsia="仿宋GB2312" w:cs="Times New Roman"/>
          <w:color w:val="000000"/>
          <w:spacing w:val="4"/>
          <w:kern w:val="0"/>
          <w:sz w:val="28"/>
          <w:szCs w:val="28"/>
          <w:lang w:val="zh-Hans"/>
        </w:rPr>
        <w:t>）采用工业网络控制架构设计软件进行设计能完成所要求功能的系统；</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2</w:t>
      </w:r>
      <w:r>
        <w:rPr>
          <w:rFonts w:hint="eastAsia" w:ascii="Times New Roman" w:hAnsi="Times New Roman" w:eastAsia="仿宋GB2312" w:cs="Times New Roman"/>
          <w:color w:val="000000"/>
          <w:spacing w:val="4"/>
          <w:kern w:val="0"/>
          <w:sz w:val="28"/>
          <w:szCs w:val="28"/>
          <w:lang w:val="zh-Hans"/>
        </w:rPr>
        <w:t>）采用工业网络控制仿真软件调试仿真设计的系统；</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3</w:t>
      </w:r>
      <w:r>
        <w:rPr>
          <w:rFonts w:hint="eastAsia" w:ascii="Times New Roman" w:hAnsi="Times New Roman" w:eastAsia="仿宋GB2312" w:cs="Times New Roman"/>
          <w:color w:val="000000"/>
          <w:spacing w:val="4"/>
          <w:kern w:val="0"/>
          <w:sz w:val="28"/>
          <w:szCs w:val="28"/>
          <w:lang w:val="zh-Hans"/>
        </w:rPr>
        <w:t>）采用现场各模块组网、编程，实现要求的功能；</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4</w:t>
      </w:r>
      <w:r>
        <w:rPr>
          <w:rFonts w:hint="eastAsia" w:ascii="Times New Roman" w:hAnsi="Times New Roman" w:eastAsia="仿宋GB2312" w:cs="Times New Roman"/>
          <w:color w:val="000000"/>
          <w:spacing w:val="4"/>
          <w:kern w:val="0"/>
          <w:sz w:val="28"/>
          <w:szCs w:val="28"/>
          <w:lang w:val="zh-Hans"/>
        </w:rPr>
        <w:t>）编写《竞赛总结》，保存到“D:\赛位号”。</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具体要求如下：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1</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通过启动现场触摸控制器，自动录入操作者信息，系统自检、待机；</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2</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根据生产任务，通过MES系统下达生产指令，启动系统运行；</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3</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送料模块A将外料送到传送带上，通过传送带送到装配位置，输送带停止；</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4</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送料B将内料送出，并与外料组装；</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5</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组装件由输送带送至尺寸检测位置进行高度测量，并根据高度尺寸是否合格进行分拣；</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6</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高度合格组件送至外观检测位置进行外观缺陷检测，根据外观检测结果分拣外观合格组件；</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7</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外观和高度尺寸都合格的合格产品，由传送带送至待搬移位置；</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8</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录入装配好的组件FRID产品信息；</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9</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成品依次摆放的指定位置，</w:t>
      </w:r>
      <w:bookmarkStart w:id="0" w:name="_Hlk132498162"/>
      <w:r>
        <w:rPr>
          <w:rFonts w:hint="eastAsia" w:ascii="Times New Roman" w:hAnsi="Times New Roman" w:eastAsia="仿宋GB2312" w:cs="Times New Roman"/>
          <w:color w:val="000000"/>
          <w:spacing w:val="4"/>
          <w:kern w:val="0"/>
          <w:sz w:val="28"/>
          <w:szCs w:val="28"/>
          <w:lang w:val="zh-Hans"/>
        </w:rPr>
        <w:t>搬移过程中，搬移机构的水平两轴按X先Y后次序，将产品按ABCDE顺序位置摆放</w:t>
      </w:r>
      <w:bookmarkEnd w:id="0"/>
      <w:r>
        <w:rPr>
          <w:rFonts w:hint="eastAsia" w:ascii="Times New Roman" w:hAnsi="Times New Roman" w:eastAsia="仿宋GB2312" w:cs="Times New Roman"/>
          <w:color w:val="000000"/>
          <w:spacing w:val="4"/>
          <w:kern w:val="0"/>
          <w:sz w:val="28"/>
          <w:szCs w:val="28"/>
          <w:lang w:val="zh-Hans"/>
        </w:rPr>
        <w:t>；</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10</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生产信息能够显示于大屏之上。</w:t>
      </w:r>
    </w:p>
    <w:p>
      <w:pPr>
        <w:spacing w:before="156" w:beforeLines="50" w:after="156" w:afterLines="50" w:line="360" w:lineRule="auto"/>
        <w:rPr>
          <w:rFonts w:ascii="黑体" w:hAnsi="黑体" w:eastAsia="黑体" w:cs="黑体"/>
          <w:b/>
          <w:bCs/>
          <w:sz w:val="32"/>
          <w:szCs w:val="32"/>
        </w:rPr>
      </w:pPr>
      <w:bookmarkStart w:id="1" w:name="_Hlk132388220"/>
      <w:r>
        <w:rPr>
          <w:rFonts w:hint="eastAsia" w:ascii="黑体" w:hAnsi="黑体" w:eastAsia="黑体" w:cs="黑体"/>
          <w:b/>
          <w:bCs/>
          <w:sz w:val="32"/>
          <w:szCs w:val="32"/>
        </w:rPr>
        <w:t>三、竞赛内容</w:t>
      </w:r>
    </w:p>
    <w:p>
      <w:pPr>
        <w:spacing w:line="360" w:lineRule="auto"/>
        <w:ind w:firstLine="578" w:firstLineChars="200"/>
        <w:jc w:val="left"/>
        <w:rPr>
          <w:rFonts w:ascii="楷体" w:hAnsi="楷体" w:eastAsia="楷体" w:cs="楷体"/>
          <w:b/>
          <w:bCs/>
          <w:color w:val="000000"/>
          <w:spacing w:val="4"/>
          <w:kern w:val="0"/>
          <w:sz w:val="28"/>
          <w:szCs w:val="28"/>
          <w:lang w:val="zh-Hans"/>
        </w:rPr>
      </w:pPr>
      <w:r>
        <w:rPr>
          <w:rFonts w:hint="eastAsia" w:ascii="楷体" w:hAnsi="楷体" w:eastAsia="楷体" w:cs="楷体"/>
          <w:b/>
          <w:bCs/>
          <w:color w:val="000000"/>
          <w:spacing w:val="4"/>
          <w:kern w:val="0"/>
          <w:sz w:val="28"/>
          <w:szCs w:val="28"/>
          <w:lang w:val="zh-Hans"/>
        </w:rPr>
        <w:t>模块一：工业网络智能控制与维护系统工业网络设计</w:t>
      </w:r>
    </w:p>
    <w:bookmarkEnd w:id="1"/>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任务1：系统方案设计</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（1）根据任务需求设计系统方案，填写设计方案要素表，包括主要元件的选型、功能描述和位置布局，完成后填写设备选型设计表。</w:t>
      </w:r>
    </w:p>
    <w:p>
      <w:pPr>
        <w:pStyle w:val="7"/>
        <w:ind w:firstLine="480"/>
        <w:jc w:val="center"/>
        <w:rPr>
          <w:rFonts w:ascii="黑体" w:hAnsi="黑体" w:eastAsia="黑体" w:cs="黑体"/>
          <w:sz w:val="24"/>
          <w:szCs w:val="24"/>
          <w:lang w:val="zh-Hans"/>
        </w:rPr>
      </w:pPr>
      <w:r>
        <w:rPr>
          <w:rFonts w:hint="eastAsia" w:ascii="黑体" w:hAnsi="黑体" w:eastAsia="黑体" w:cs="黑体"/>
          <w:sz w:val="24"/>
          <w:szCs w:val="24"/>
          <w:lang w:val="zh-Hans"/>
        </w:rPr>
        <w:t>表1 系统元器件选型设计表</w:t>
      </w:r>
    </w:p>
    <w:tbl>
      <w:tblPr>
        <w:tblStyle w:val="9"/>
        <w:tblW w:w="8019" w:type="dxa"/>
        <w:tblInd w:w="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790"/>
        <w:gridCol w:w="1510"/>
        <w:gridCol w:w="1840"/>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1790" w:type="dxa"/>
            <w:vAlign w:val="center"/>
          </w:tcPr>
          <w:p>
            <w:pPr>
              <w:pStyle w:val="7"/>
              <w:spacing w:after="0"/>
              <w:ind w:left="0" w:leftChars="0" w:firstLine="0" w:firstLineChars="0"/>
              <w:jc w:val="center"/>
              <w:rPr>
                <w:rFonts w:ascii="仿宋" w:hAnsi="仿宋" w:eastAsia="仿宋" w:cs="仿宋"/>
                <w:b/>
                <w:bCs/>
                <w:sz w:val="24"/>
                <w:szCs w:val="24"/>
              </w:rPr>
            </w:pPr>
            <w:r>
              <w:rPr>
                <w:rFonts w:hint="eastAsia" w:ascii="仿宋" w:hAnsi="仿宋" w:eastAsia="仿宋" w:cs="仿宋"/>
                <w:b/>
                <w:bCs/>
                <w:sz w:val="24"/>
                <w:szCs w:val="24"/>
              </w:rPr>
              <w:t>设备名称</w:t>
            </w:r>
          </w:p>
        </w:tc>
        <w:tc>
          <w:tcPr>
            <w:tcW w:w="1510" w:type="dxa"/>
            <w:vAlign w:val="center"/>
          </w:tcPr>
          <w:p>
            <w:pPr>
              <w:pStyle w:val="7"/>
              <w:spacing w:after="0"/>
              <w:ind w:left="0" w:leftChars="0" w:firstLine="0" w:firstLineChars="0"/>
              <w:jc w:val="center"/>
              <w:rPr>
                <w:rFonts w:ascii="仿宋" w:hAnsi="仿宋" w:eastAsia="仿宋" w:cs="仿宋"/>
                <w:b/>
                <w:bCs/>
                <w:sz w:val="24"/>
                <w:szCs w:val="24"/>
              </w:rPr>
            </w:pPr>
            <w:r>
              <w:rPr>
                <w:rFonts w:hint="eastAsia" w:ascii="仿宋" w:hAnsi="仿宋" w:eastAsia="仿宋" w:cs="仿宋"/>
                <w:b/>
                <w:bCs/>
                <w:sz w:val="24"/>
                <w:szCs w:val="24"/>
              </w:rPr>
              <w:t>选用型号</w:t>
            </w:r>
          </w:p>
        </w:tc>
        <w:tc>
          <w:tcPr>
            <w:tcW w:w="1840" w:type="dxa"/>
            <w:vAlign w:val="center"/>
          </w:tcPr>
          <w:p>
            <w:pPr>
              <w:pStyle w:val="7"/>
              <w:spacing w:after="0"/>
              <w:ind w:left="0" w:leftChars="0" w:firstLine="0" w:firstLineChars="0"/>
              <w:jc w:val="center"/>
              <w:rPr>
                <w:rFonts w:ascii="仿宋" w:hAnsi="仿宋" w:eastAsia="仿宋" w:cs="仿宋"/>
                <w:b/>
                <w:bCs/>
                <w:sz w:val="24"/>
                <w:szCs w:val="24"/>
              </w:rPr>
            </w:pPr>
            <w:r>
              <w:rPr>
                <w:rFonts w:hint="eastAsia" w:ascii="仿宋" w:hAnsi="仿宋" w:eastAsia="仿宋" w:cs="仿宋"/>
                <w:b/>
                <w:bCs/>
                <w:sz w:val="24"/>
                <w:szCs w:val="24"/>
              </w:rPr>
              <w:t>功能描述</w:t>
            </w:r>
          </w:p>
        </w:tc>
        <w:tc>
          <w:tcPr>
            <w:tcW w:w="1949" w:type="dxa"/>
            <w:vAlign w:val="center"/>
          </w:tcPr>
          <w:p>
            <w:pPr>
              <w:pStyle w:val="7"/>
              <w:spacing w:after="0"/>
              <w:ind w:left="0" w:leftChars="0" w:firstLine="0" w:firstLineChars="0"/>
              <w:jc w:val="center"/>
              <w:rPr>
                <w:rFonts w:ascii="仿宋" w:hAnsi="仿宋" w:eastAsia="仿宋" w:cs="仿宋"/>
                <w:b/>
                <w:bCs/>
                <w:sz w:val="24"/>
                <w:szCs w:val="24"/>
              </w:rPr>
            </w:pPr>
            <w:r>
              <w:rPr>
                <w:rFonts w:hint="eastAsia" w:ascii="仿宋" w:hAnsi="仿宋" w:eastAsia="仿宋" w:cs="仿宋"/>
                <w:b/>
                <w:bCs/>
                <w:sz w:val="24"/>
                <w:szCs w:val="24"/>
              </w:rPr>
              <w:t>位置布局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pPr>
          </w:p>
        </w:tc>
        <w:tc>
          <w:tcPr>
            <w:tcW w:w="1790" w:type="dxa"/>
            <w:vAlign w:val="center"/>
          </w:tcPr>
          <w:p>
            <w:pPr>
              <w:pStyle w:val="7"/>
              <w:spacing w:after="0"/>
              <w:ind w:left="0" w:leftChars="0" w:firstLine="0" w:firstLineChars="0"/>
              <w:jc w:val="center"/>
            </w:pPr>
          </w:p>
        </w:tc>
        <w:tc>
          <w:tcPr>
            <w:tcW w:w="1510" w:type="dxa"/>
            <w:vAlign w:val="center"/>
          </w:tcPr>
          <w:p>
            <w:pPr>
              <w:pStyle w:val="7"/>
              <w:spacing w:after="0"/>
              <w:ind w:left="0" w:leftChars="0" w:firstLine="0" w:firstLineChars="0"/>
              <w:jc w:val="center"/>
            </w:pPr>
          </w:p>
        </w:tc>
        <w:tc>
          <w:tcPr>
            <w:tcW w:w="1840" w:type="dxa"/>
            <w:vAlign w:val="center"/>
          </w:tcPr>
          <w:p>
            <w:pPr>
              <w:pStyle w:val="7"/>
              <w:spacing w:after="0"/>
              <w:ind w:left="0" w:leftChars="0" w:firstLine="0" w:firstLineChars="0"/>
              <w:jc w:val="center"/>
            </w:pPr>
          </w:p>
        </w:tc>
        <w:tc>
          <w:tcPr>
            <w:tcW w:w="1949" w:type="dxa"/>
            <w:vAlign w:val="center"/>
          </w:tcPr>
          <w:p>
            <w:pPr>
              <w:pStyle w:val="7"/>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pPr>
          </w:p>
        </w:tc>
        <w:tc>
          <w:tcPr>
            <w:tcW w:w="1790" w:type="dxa"/>
            <w:vAlign w:val="center"/>
          </w:tcPr>
          <w:p>
            <w:pPr>
              <w:pStyle w:val="7"/>
              <w:spacing w:after="0"/>
              <w:ind w:left="0" w:leftChars="0" w:firstLine="0" w:firstLineChars="0"/>
              <w:jc w:val="center"/>
            </w:pPr>
          </w:p>
        </w:tc>
        <w:tc>
          <w:tcPr>
            <w:tcW w:w="1510" w:type="dxa"/>
            <w:vAlign w:val="center"/>
          </w:tcPr>
          <w:p>
            <w:pPr>
              <w:pStyle w:val="7"/>
              <w:spacing w:after="0"/>
              <w:ind w:left="0" w:leftChars="0" w:firstLine="0" w:firstLineChars="0"/>
              <w:jc w:val="center"/>
            </w:pPr>
          </w:p>
        </w:tc>
        <w:tc>
          <w:tcPr>
            <w:tcW w:w="1840" w:type="dxa"/>
            <w:vAlign w:val="center"/>
          </w:tcPr>
          <w:p>
            <w:pPr>
              <w:pStyle w:val="7"/>
              <w:spacing w:after="0"/>
              <w:ind w:left="0" w:leftChars="0" w:firstLine="0" w:firstLineChars="0"/>
              <w:jc w:val="center"/>
            </w:pPr>
          </w:p>
        </w:tc>
        <w:tc>
          <w:tcPr>
            <w:tcW w:w="1949" w:type="dxa"/>
            <w:vAlign w:val="center"/>
          </w:tcPr>
          <w:p>
            <w:pPr>
              <w:pStyle w:val="7"/>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pPr>
          </w:p>
        </w:tc>
        <w:tc>
          <w:tcPr>
            <w:tcW w:w="1790" w:type="dxa"/>
            <w:vAlign w:val="center"/>
          </w:tcPr>
          <w:p>
            <w:pPr>
              <w:pStyle w:val="7"/>
              <w:spacing w:after="0"/>
              <w:ind w:left="0" w:leftChars="0" w:firstLine="0" w:firstLineChars="0"/>
              <w:jc w:val="center"/>
            </w:pPr>
          </w:p>
        </w:tc>
        <w:tc>
          <w:tcPr>
            <w:tcW w:w="1510" w:type="dxa"/>
            <w:vAlign w:val="center"/>
          </w:tcPr>
          <w:p>
            <w:pPr>
              <w:pStyle w:val="7"/>
              <w:spacing w:after="0"/>
              <w:ind w:left="0" w:leftChars="0" w:firstLine="0" w:firstLineChars="0"/>
              <w:jc w:val="center"/>
            </w:pPr>
          </w:p>
        </w:tc>
        <w:tc>
          <w:tcPr>
            <w:tcW w:w="1840" w:type="dxa"/>
            <w:vAlign w:val="center"/>
          </w:tcPr>
          <w:p>
            <w:pPr>
              <w:pStyle w:val="7"/>
              <w:spacing w:after="0"/>
              <w:ind w:left="0" w:leftChars="0" w:firstLine="0" w:firstLineChars="0"/>
              <w:jc w:val="center"/>
            </w:pPr>
          </w:p>
        </w:tc>
        <w:tc>
          <w:tcPr>
            <w:tcW w:w="1949" w:type="dxa"/>
            <w:vAlign w:val="center"/>
          </w:tcPr>
          <w:p>
            <w:pPr>
              <w:pStyle w:val="7"/>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pPr>
          </w:p>
        </w:tc>
        <w:tc>
          <w:tcPr>
            <w:tcW w:w="1790" w:type="dxa"/>
            <w:vAlign w:val="center"/>
          </w:tcPr>
          <w:p>
            <w:pPr>
              <w:pStyle w:val="7"/>
              <w:spacing w:after="0"/>
              <w:ind w:left="0" w:leftChars="0" w:firstLine="0" w:firstLineChars="0"/>
              <w:jc w:val="center"/>
            </w:pPr>
          </w:p>
        </w:tc>
        <w:tc>
          <w:tcPr>
            <w:tcW w:w="1510" w:type="dxa"/>
            <w:vAlign w:val="center"/>
          </w:tcPr>
          <w:p>
            <w:pPr>
              <w:pStyle w:val="7"/>
              <w:spacing w:after="0"/>
              <w:ind w:left="0" w:leftChars="0" w:firstLine="0" w:firstLineChars="0"/>
              <w:jc w:val="center"/>
            </w:pPr>
          </w:p>
        </w:tc>
        <w:tc>
          <w:tcPr>
            <w:tcW w:w="1840" w:type="dxa"/>
            <w:vAlign w:val="center"/>
          </w:tcPr>
          <w:p>
            <w:pPr>
              <w:pStyle w:val="7"/>
              <w:spacing w:after="0"/>
              <w:ind w:left="0" w:leftChars="0" w:firstLine="0" w:firstLineChars="0"/>
              <w:jc w:val="center"/>
            </w:pPr>
          </w:p>
        </w:tc>
        <w:tc>
          <w:tcPr>
            <w:tcW w:w="1949" w:type="dxa"/>
            <w:vAlign w:val="center"/>
          </w:tcPr>
          <w:p>
            <w:pPr>
              <w:pStyle w:val="7"/>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pPr>
          </w:p>
        </w:tc>
        <w:tc>
          <w:tcPr>
            <w:tcW w:w="1790" w:type="dxa"/>
            <w:vAlign w:val="center"/>
          </w:tcPr>
          <w:p>
            <w:pPr>
              <w:pStyle w:val="7"/>
              <w:spacing w:after="0"/>
              <w:ind w:left="0" w:leftChars="0" w:firstLine="0" w:firstLineChars="0"/>
              <w:jc w:val="center"/>
            </w:pPr>
          </w:p>
        </w:tc>
        <w:tc>
          <w:tcPr>
            <w:tcW w:w="1510" w:type="dxa"/>
            <w:vAlign w:val="center"/>
          </w:tcPr>
          <w:p>
            <w:pPr>
              <w:pStyle w:val="7"/>
              <w:spacing w:after="0"/>
              <w:ind w:left="0" w:leftChars="0" w:firstLine="0" w:firstLineChars="0"/>
              <w:jc w:val="center"/>
            </w:pPr>
          </w:p>
        </w:tc>
        <w:tc>
          <w:tcPr>
            <w:tcW w:w="1840" w:type="dxa"/>
            <w:vAlign w:val="center"/>
          </w:tcPr>
          <w:p>
            <w:pPr>
              <w:pStyle w:val="7"/>
              <w:spacing w:after="0"/>
              <w:ind w:left="0" w:leftChars="0" w:firstLine="0" w:firstLineChars="0"/>
              <w:jc w:val="center"/>
            </w:pPr>
          </w:p>
        </w:tc>
        <w:tc>
          <w:tcPr>
            <w:tcW w:w="1949" w:type="dxa"/>
            <w:vAlign w:val="center"/>
          </w:tcPr>
          <w:p>
            <w:pPr>
              <w:pStyle w:val="7"/>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pPr>
          </w:p>
        </w:tc>
        <w:tc>
          <w:tcPr>
            <w:tcW w:w="1790" w:type="dxa"/>
            <w:vAlign w:val="center"/>
          </w:tcPr>
          <w:p>
            <w:pPr>
              <w:pStyle w:val="7"/>
              <w:spacing w:after="0"/>
              <w:ind w:left="0" w:leftChars="0" w:firstLine="0" w:firstLineChars="0"/>
              <w:jc w:val="center"/>
            </w:pPr>
          </w:p>
        </w:tc>
        <w:tc>
          <w:tcPr>
            <w:tcW w:w="1510" w:type="dxa"/>
            <w:vAlign w:val="center"/>
          </w:tcPr>
          <w:p>
            <w:pPr>
              <w:pStyle w:val="7"/>
              <w:spacing w:after="0"/>
              <w:ind w:left="0" w:leftChars="0" w:firstLine="0" w:firstLineChars="0"/>
              <w:jc w:val="center"/>
            </w:pPr>
          </w:p>
        </w:tc>
        <w:tc>
          <w:tcPr>
            <w:tcW w:w="1840" w:type="dxa"/>
            <w:vAlign w:val="center"/>
          </w:tcPr>
          <w:p>
            <w:pPr>
              <w:pStyle w:val="7"/>
              <w:spacing w:after="0"/>
              <w:ind w:left="0" w:leftChars="0" w:firstLine="0" w:firstLineChars="0"/>
              <w:jc w:val="center"/>
            </w:pPr>
          </w:p>
        </w:tc>
        <w:tc>
          <w:tcPr>
            <w:tcW w:w="1949" w:type="dxa"/>
            <w:vAlign w:val="center"/>
          </w:tcPr>
          <w:p>
            <w:pPr>
              <w:pStyle w:val="7"/>
              <w:spacing w:after="0"/>
              <w:ind w:left="0" w:leftChars="0" w:firstLine="0" w:firstLineChars="0"/>
              <w:jc w:val="center"/>
            </w:pPr>
          </w:p>
        </w:tc>
      </w:tr>
    </w:tbl>
    <w:p>
      <w:pPr>
        <w:spacing w:line="360" w:lineRule="auto"/>
        <w:ind w:firstLine="578" w:firstLineChars="200"/>
        <w:rPr>
          <w:rFonts w:ascii="Times New Roman" w:hAnsi="Times New Roman" w:eastAsia="仿宋GB2312" w:cs="Times New Roman"/>
          <w:b/>
          <w:bCs/>
          <w:color w:val="000000"/>
          <w:spacing w:val="4"/>
          <w:kern w:val="0"/>
          <w:sz w:val="28"/>
          <w:szCs w:val="28"/>
        </w:rPr>
      </w:pPr>
      <w:r>
        <w:rPr>
          <w:rFonts w:hint="eastAsia" w:ascii="Times New Roman" w:hAnsi="Times New Roman" w:eastAsia="仿宋GB2312" w:cs="Times New Roman"/>
          <w:b/>
          <w:bCs/>
          <w:color w:val="000000"/>
          <w:spacing w:val="4"/>
          <w:kern w:val="0"/>
          <w:sz w:val="28"/>
          <w:szCs w:val="28"/>
        </w:rPr>
        <w:t>（2）根据系统方案进行网络拓扑图绘制</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采用工业网络控制设计软件进行绘制，包括根据设计方案中确定的设备进行选型、组网，完成虚拟系统的搭建。</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使用网络拓扑图设计软件设计整个网络架构拓扑图，完成智能生产系统的边缘层，包括设备层、控制层、数据接入层），应用层、网络层的绘制。同时，在网络拓扑图中标注各设备之间所采用的工业网络通讯总线，不同工业网络通讯总线采用不同颜色线条标注。并将绘制的文件保存。</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hint="eastAsia" w:ascii="Times New Roman" w:hAnsi="Times New Roman" w:eastAsia="仿宋GB2312" w:cs="Times New Roman"/>
          <w:color w:val="000000"/>
          <w:spacing w:val="4"/>
          <w:kern w:val="0"/>
          <w:sz w:val="28"/>
          <w:szCs w:val="28"/>
          <w:lang w:val="zh-Hans"/>
        </w:rPr>
        <w:t>根据系统网络结构，对远程服务器，工作站运维计算机，数据管理网络中主控PLC、触摸屏，生产线PLC、伺服驱动器、扫码器和搬移机械装置等网络设备IP地址进行规划和分配。</w:t>
      </w:r>
    </w:p>
    <w:p>
      <w:pPr>
        <w:pStyle w:val="7"/>
        <w:ind w:firstLine="480"/>
        <w:jc w:val="center"/>
        <w:rPr>
          <w:rFonts w:ascii="黑体" w:hAnsi="黑体" w:eastAsia="黑体" w:cs="黑体"/>
          <w:sz w:val="24"/>
          <w:szCs w:val="24"/>
        </w:rPr>
      </w:pPr>
      <w:r>
        <w:rPr>
          <w:rFonts w:hint="eastAsia" w:ascii="黑体" w:hAnsi="黑体" w:eastAsia="黑体" w:cs="黑体"/>
          <w:sz w:val="24"/>
          <w:szCs w:val="24"/>
        </w:rPr>
        <w:t>表2 系统IP地址分配表</w:t>
      </w:r>
    </w:p>
    <w:tbl>
      <w:tblPr>
        <w:tblStyle w:val="9"/>
        <w:tblW w:w="6960" w:type="dxa"/>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460"/>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bCs/>
                <w:sz w:val="24"/>
                <w:szCs w:val="24"/>
              </w:rPr>
            </w:pPr>
            <w:r>
              <w:rPr>
                <w:rFonts w:hint="eastAsia" w:ascii="仿宋" w:hAnsi="仿宋" w:eastAsia="仿宋" w:cs="仿宋"/>
                <w:b/>
                <w:bCs/>
                <w:sz w:val="24"/>
                <w:szCs w:val="24"/>
              </w:rPr>
              <w:t>设备名称</w:t>
            </w: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bCs/>
                <w:sz w:val="24"/>
                <w:szCs w:val="24"/>
              </w:rPr>
            </w:pPr>
            <w:r>
              <w:rPr>
                <w:rFonts w:hint="eastAsia" w:ascii="仿宋" w:hAnsi="仿宋" w:eastAsia="仿宋" w:cs="仿宋"/>
                <w:b/>
                <w:bCs/>
                <w:sz w:val="24"/>
                <w:szCs w:val="24"/>
              </w:rPr>
              <w:t>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1</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2</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3</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4</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5</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6</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7</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8</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9</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r>
              <w:rPr>
                <w:rFonts w:hint="eastAsia" w:eastAsia="宋体"/>
              </w:rPr>
              <w:t>10</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bl>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w:t>
      </w:r>
      <w:r>
        <w:rPr>
          <w:rFonts w:hint="eastAsia" w:ascii="Times New Roman" w:hAnsi="Times New Roman" w:eastAsia="宋体" w:cs="Times New Roman"/>
          <w:b/>
          <w:bCs/>
          <w:color w:val="000000"/>
          <w:spacing w:val="4"/>
          <w:kern w:val="0"/>
          <w:sz w:val="28"/>
          <w:szCs w:val="28"/>
        </w:rPr>
        <w:t>2</w:t>
      </w:r>
      <w:r>
        <w:rPr>
          <w:rFonts w:hint="eastAsia" w:ascii="Times New Roman" w:hAnsi="Times New Roman" w:eastAsia="仿宋GB2312" w:cs="Times New Roman"/>
          <w:b/>
          <w:bCs/>
          <w:color w:val="000000"/>
          <w:spacing w:val="4"/>
          <w:kern w:val="0"/>
          <w:sz w:val="28"/>
          <w:szCs w:val="28"/>
          <w:lang w:val="zh-Hans"/>
        </w:rPr>
        <w:t>：网络控制虚拟系统仿真设计与调试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虚拟系统仿真设计采用虚拟仿真编程软件，并对各个模块进行编程，其中包括根据功能进行对象、信号定义，并将信号映射到PLC中；编写PLC程序将信号映射到仿真软件中，完成相关设备的自动运行；编写PLC和HMI程序，实现在HMI中下发数据到PLC，实现相关设备模拟自动运行，等等。同时还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打开设备模型库，调用与实物机构相同的设备模型；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将调用的设备设置在安装位置，与设计方案中布局图安装位置相同；</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设置各设备仿真模型的属性，并进行输入输出IO点关联，虚拟关联应对应实际PLC等设备的输入输出连接点。</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（2）虚拟系统仿真调试在虚拟仿真编程开发环境中完成，要求：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设置虚拟仿真编程开发环境的可编程控制器模拟软件PLCSIM通讯参数；</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通过通信参数设置控制相关设备，实现设备模型动作完成，虚拟设备模型动作应与实际设备的动作一致；</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控制虚拟部件模型运动到指定位置，虚拟传感器模型能够正确检测并输出信号给可编程控制器模拟软件；</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④</w:t>
      </w:r>
      <w:r>
        <w:rPr>
          <w:rFonts w:hint="eastAsia" w:ascii="Times New Roman" w:hAnsi="Times New Roman" w:eastAsia="仿宋GB2312" w:cs="Times New Roman"/>
          <w:color w:val="000000"/>
          <w:spacing w:val="4"/>
          <w:kern w:val="0"/>
          <w:sz w:val="28"/>
          <w:szCs w:val="28"/>
          <w:lang w:val="zh-Hans"/>
        </w:rPr>
        <w:t>在仿真系统中，按照工艺流程，将各部件进行联机运行。</w:t>
      </w:r>
    </w:p>
    <w:p>
      <w:pPr>
        <w:tabs>
          <w:tab w:val="left" w:pos="6128"/>
        </w:tabs>
        <w:spacing w:line="360" w:lineRule="auto"/>
        <w:ind w:firstLine="578" w:firstLineChars="200"/>
        <w:rPr>
          <w:rFonts w:ascii="Times New Roman" w:hAnsi="Times New Roman" w:eastAsia="仿宋GB2312" w:cs="Times New Roman"/>
          <w:b/>
          <w:bCs/>
          <w:color w:val="000000"/>
          <w:spacing w:val="4"/>
          <w:kern w:val="0"/>
          <w:sz w:val="28"/>
          <w:szCs w:val="28"/>
        </w:rPr>
      </w:pPr>
      <w:bookmarkStart w:id="2" w:name="_Hlk132388978"/>
      <w:r>
        <w:rPr>
          <w:rFonts w:hint="eastAsia" w:ascii="Times New Roman" w:hAnsi="Times New Roman" w:eastAsia="仿宋GB2312" w:cs="Times New Roman"/>
          <w:b/>
          <w:bCs/>
          <w:color w:val="000000"/>
          <w:spacing w:val="4"/>
          <w:kern w:val="0"/>
          <w:sz w:val="28"/>
          <w:szCs w:val="28"/>
          <w:lang w:val="zh-Hans"/>
        </w:rPr>
        <w:t>任务</w:t>
      </w:r>
      <w:r>
        <w:rPr>
          <w:rFonts w:hint="eastAsia" w:ascii="Times New Roman" w:hAnsi="Times New Roman" w:eastAsia="宋体" w:cs="Times New Roman"/>
          <w:b/>
          <w:bCs/>
          <w:color w:val="000000"/>
          <w:spacing w:val="4"/>
          <w:kern w:val="0"/>
          <w:sz w:val="28"/>
          <w:szCs w:val="28"/>
        </w:rPr>
        <w:t>3</w:t>
      </w:r>
      <w:r>
        <w:rPr>
          <w:rFonts w:hint="eastAsia" w:ascii="Times New Roman" w:hAnsi="Times New Roman" w:eastAsia="仿宋GB2312" w:cs="Times New Roman"/>
          <w:b/>
          <w:bCs/>
          <w:color w:val="000000"/>
          <w:spacing w:val="4"/>
          <w:kern w:val="0"/>
          <w:sz w:val="28"/>
          <w:szCs w:val="28"/>
          <w:lang w:val="zh-Hans"/>
        </w:rPr>
        <w:t>： 物理系统的安装、组网</w:t>
      </w:r>
      <w:r>
        <w:rPr>
          <w:rFonts w:hint="eastAsia" w:ascii="Times New Roman" w:hAnsi="Times New Roman" w:eastAsia="仿宋GB2312" w:cs="Times New Roman"/>
          <w:b/>
          <w:bCs/>
          <w:color w:val="000000"/>
          <w:spacing w:val="4"/>
          <w:kern w:val="0"/>
          <w:sz w:val="28"/>
          <w:szCs w:val="28"/>
        </w:rPr>
        <w:t>和调试</w:t>
      </w:r>
    </w:p>
    <w:bookmarkEnd w:id="2"/>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（1）设备安装</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根据设计方案和仿真结果进行部件或设备选型，如根据检测物理量选择相应传感器；根据要求的气动上料要求，选择合适的气动执行设备；根据皮带传输功能要求，选择相应的电机；根据任务书中的要求视觉检测，选择满足需求的视觉检测设备，等等，并将这些设备安装固定，要求符合相关电气施工规范的国家和行业标准。</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（2）系统组网</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将相关设备采用对应的通信接口和线缆进行连接，完成系统组网，如电量计量表采用RS485通信接口进行连接；</w:t>
      </w:r>
      <w:r>
        <w:rPr>
          <w:rFonts w:hint="eastAsia" w:ascii="Times New Roman" w:hAnsi="Times New Roman" w:eastAsia="仿宋GB2312" w:cs="Times New Roman"/>
          <w:color w:val="000000"/>
          <w:spacing w:val="4"/>
          <w:kern w:val="0"/>
          <w:sz w:val="28"/>
          <w:szCs w:val="28"/>
        </w:rPr>
        <w:t>PLC</w:t>
      </w:r>
      <w:r>
        <w:rPr>
          <w:rFonts w:hint="eastAsia" w:ascii="Times New Roman" w:hAnsi="Times New Roman" w:eastAsia="仿宋GB2312" w:cs="Times New Roman"/>
          <w:color w:val="000000"/>
          <w:spacing w:val="4"/>
          <w:kern w:val="0"/>
          <w:sz w:val="28"/>
          <w:szCs w:val="28"/>
          <w:lang w:val="zh-Hans"/>
        </w:rPr>
        <w:t>与信息采集单元模拟量输出端、数字输出端、气动部件、电机部件之间，制作相应的连接线缆进行组网；同时，完成ProfiBus、ProfiNet总线的通讯电路连接。安装过程中，元部件、设备安装，线缆表示和固定、线段压线等均符合工业电气相关电气施工规范的国家和行业标准。</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hint="eastAsia" w:ascii="Times New Roman" w:hAnsi="Times New Roman" w:eastAsia="仿宋GB2312" w:cs="Times New Roman"/>
          <w:color w:val="000000"/>
          <w:spacing w:val="4"/>
          <w:kern w:val="0"/>
          <w:sz w:val="28"/>
          <w:szCs w:val="28"/>
          <w:lang w:val="zh-Hans"/>
        </w:rPr>
        <w:t>根据任务书要求和设计中的要求，需要完成相关网络系统参数设定，并填写相应参数，使系统能进行网络通讯测试，要求：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智能电量采集表、变频器采用RS-485总线与PLC连接，使用Modbus协议通信（RTU），并填写“RS485通讯参数设定表”表格；使用“USB转RS485”将感知设备总线连接至计算机USB口。根据“通讯参数设定表”，使用串口调试工具检测设备的连通完好性，并保存测试结果。</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PLC之间通信可采用ProfiNet智能输入输出方式，根据设计中的要求对相关设备设定系统参数，并填写“ProfiNet通讯参数设定表”，使用相关通用性软件（设备厂商提供）将ProfiNet组态界面的“网络视图”界面和“操作模式-智能设备通信”界面保存。</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PLC与远程IO模块1、远程IO模块2、RFID网管控制、伺服驱动等设备部件之间采用ProfiNet的通讯方式，但要实现与远程IO模块2之间通讯，需对ProfiBus划分主站模块和从站模块，并要求对相关设备进行GSD文件添加，并进行设备组态，设置相关属性参数； PLC与视觉系统之间采用TCP/IP的通讯方式，根据任务书要求对相关设备并进行设备组态，设置相关属性参数。</w:t>
      </w:r>
    </w:p>
    <w:p>
      <w:pPr>
        <w:spacing w:line="360" w:lineRule="auto"/>
        <w:ind w:firstLine="578" w:firstLineChars="200"/>
        <w:jc w:val="left"/>
        <w:rPr>
          <w:rFonts w:ascii="楷体" w:hAnsi="楷体" w:eastAsia="楷体" w:cs="楷体"/>
          <w:b/>
          <w:bCs/>
          <w:color w:val="000000"/>
          <w:spacing w:val="4"/>
          <w:kern w:val="0"/>
          <w:sz w:val="28"/>
          <w:szCs w:val="28"/>
        </w:rPr>
      </w:pPr>
      <w:r>
        <w:rPr>
          <w:rFonts w:hint="eastAsia" w:ascii="楷体" w:hAnsi="楷体" w:eastAsia="楷体" w:cs="楷体"/>
          <w:b/>
          <w:bCs/>
          <w:color w:val="000000"/>
          <w:spacing w:val="4"/>
          <w:kern w:val="0"/>
          <w:sz w:val="28"/>
          <w:szCs w:val="28"/>
          <w:lang w:val="zh-Hans"/>
        </w:rPr>
        <w:t>模块二：工业网络智能控制系统调试</w:t>
      </w:r>
      <w:r>
        <w:rPr>
          <w:rFonts w:hint="eastAsia" w:ascii="楷体" w:hAnsi="楷体" w:eastAsia="楷体" w:cs="楷体"/>
          <w:b/>
          <w:bCs/>
          <w:color w:val="000000"/>
          <w:spacing w:val="4"/>
          <w:kern w:val="0"/>
          <w:sz w:val="28"/>
          <w:szCs w:val="28"/>
        </w:rPr>
        <w:t>与智能运维</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人机交互界面上HMI设有运行和调试选项，调试选项包括各工序选项，如包括送料、皮带传送、尺寸检测与分拣、视觉检测与分拣、FRID信息读入和三轴线性运动直角搬移机构，还包括可视化单元、工业网络和系统联调选项，每一个子选项根据环节设置子项调试项目，如送料工序，包括气缸推料和输送至检测分拣位置，这两个部分均要能够单独手动调试，在每一个环节可设置相关参数。联调应该在各个单元完成后进行联调。</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在每项子任务调试前，需要编写PLC和HMI程序（可在仿真程序的基础上修改），通过操作HMI控制自动供料单元、安装单元、检测分拣单元和搬移单元的手动和自动运行。</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任务1：系统调试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1</w:t>
      </w:r>
      <w:r>
        <w:rPr>
          <w:rFonts w:hint="eastAsia" w:ascii="Times New Roman" w:hAnsi="Times New Roman" w:eastAsia="仿宋GB2312" w:cs="Times New Roman"/>
          <w:color w:val="000000"/>
          <w:spacing w:val="4"/>
          <w:kern w:val="0"/>
          <w:sz w:val="28"/>
          <w:szCs w:val="28"/>
          <w:lang w:val="zh-Hans"/>
        </w:rPr>
        <w:t>）工业网络智能控制系统编程调试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网络设备上电后，判定各设备指示器是否正常；</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使用网线测试工具进行信号联通性测试；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通过三层交换机管理界面，将各三层交换机相关端口配置为组环网端口；</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④</w:t>
      </w:r>
      <w:r>
        <w:rPr>
          <w:rFonts w:hint="eastAsia" w:ascii="Times New Roman" w:hAnsi="Times New Roman" w:eastAsia="仿宋GB2312" w:cs="Times New Roman"/>
          <w:color w:val="000000"/>
          <w:spacing w:val="4"/>
          <w:kern w:val="0"/>
          <w:sz w:val="28"/>
          <w:szCs w:val="28"/>
          <w:lang w:val="zh-Hans"/>
        </w:rPr>
        <w:t>完成各三层交换机环网参数配置，使数据能够在环网中传输。</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（2）工业网络智能控制系统手动调试与系统优化</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eastAsia="zh-Hans"/>
        </w:rPr>
        <w:t>①</w:t>
      </w:r>
      <w:r>
        <w:rPr>
          <w:rFonts w:hint="eastAsia" w:ascii="Times New Roman" w:hAnsi="Times New Roman" w:eastAsia="仿宋GB2312" w:cs="Times New Roman"/>
          <w:color w:val="000000"/>
          <w:spacing w:val="4"/>
          <w:kern w:val="0"/>
          <w:sz w:val="28"/>
          <w:szCs w:val="28"/>
          <w:lang w:val="zh-Hans"/>
        </w:rPr>
        <w:t>气缸手动调试。先选择送料模块A或B，当按下推料按钮时，气缸推出，当气缸到位时，指示灯亮；当按下回缩按钮时，气缸回缩，在触摸屏中的相应指示灯亮。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电机手动调试。根据任务书所要求选择传输模块的驱动电机（步进电机驱动或变频器驱动）。在触摸屏中电机运行参数模块中，输入传输电机的传输速度、加速度、减速度参数；当按下输送带手动前进按钮时，输送带正常前进运行；当按下输送带手动后退按钮时，输送带正常后退运行；输送带运行同时，通过速度传感器检测输送带运行速度，并实施显示在触摸屏中。</w:t>
      </w:r>
    </w:p>
    <w:p>
      <w:pPr>
        <w:spacing w:line="360" w:lineRule="auto"/>
        <w:ind w:firstLine="576" w:firstLineChars="200"/>
        <w:rPr>
          <w:rFonts w:ascii="Times New Roman" w:hAnsi="Times New Roman" w:eastAsia="仿宋GB2312" w:cs="Times New Roman"/>
          <w:b/>
          <w:bCs/>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分拣装置手动调试。</w:t>
      </w:r>
      <w:bookmarkStart w:id="3" w:name="_Hlk132498620"/>
      <w:r>
        <w:rPr>
          <w:rFonts w:hint="eastAsia" w:ascii="Times New Roman" w:hAnsi="Times New Roman" w:eastAsia="仿宋GB2312" w:cs="Times New Roman"/>
          <w:color w:val="000000"/>
          <w:spacing w:val="4"/>
          <w:kern w:val="0"/>
          <w:sz w:val="28"/>
          <w:szCs w:val="28"/>
          <w:lang w:val="zh-Hans"/>
        </w:rPr>
        <w:t>当按下分拣阻挡按钮时，当阻挡到位时，触摸屏中对应该阻挡的指示灯亮；当按下分拣放行按钮时，当放行到位时，在触摸屏中该放行到位指示灯亮。</w:t>
      </w:r>
      <w:bookmarkEnd w:id="3"/>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④</w:t>
      </w:r>
      <w:r>
        <w:rPr>
          <w:rFonts w:hint="eastAsia" w:ascii="Times New Roman" w:hAnsi="Times New Roman" w:eastAsia="仿宋GB2312" w:cs="Times New Roman"/>
          <w:color w:val="000000"/>
          <w:spacing w:val="4"/>
          <w:kern w:val="0"/>
          <w:sz w:val="28"/>
          <w:szCs w:val="28"/>
          <w:lang w:val="zh-Hans"/>
        </w:rPr>
        <w:t>选择单机调试模式，进入手动调试界面，选择装配模块调试。调试过程与</w:t>
      </w: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类似。</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⑤</w:t>
      </w:r>
      <w:r>
        <w:rPr>
          <w:rFonts w:hint="eastAsia" w:ascii="Times New Roman" w:hAnsi="Times New Roman" w:eastAsia="仿宋GB2312" w:cs="Times New Roman"/>
          <w:color w:val="000000"/>
          <w:spacing w:val="4"/>
          <w:kern w:val="0"/>
          <w:sz w:val="28"/>
          <w:szCs w:val="28"/>
          <w:lang w:val="zh-Hans"/>
        </w:rPr>
        <w:t>选择单机调试模式，选择高度检测模块调试。当按下高度检测上升按钮时，动作正常，触摸屏中该上升到位指示灯亮；当按下高度检测下降按钮时，下降动作正常。分别将装配合格组件和装配不合格组件手动放置在该模块检测工位。设定测量次数（如10次），将测量平均值参数在触摸屏中进行设置，允许测量误差参数在触摸屏中设置为±2mm或其他，用于判定材料合格与否。</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⑥</w:t>
      </w:r>
      <w:r>
        <w:rPr>
          <w:rFonts w:hint="eastAsia" w:ascii="Times New Roman" w:hAnsi="Times New Roman" w:eastAsia="仿宋GB2312" w:cs="Times New Roman"/>
          <w:color w:val="000000"/>
          <w:spacing w:val="4"/>
          <w:kern w:val="0"/>
          <w:sz w:val="28"/>
          <w:szCs w:val="28"/>
          <w:lang w:val="zh-Hans"/>
        </w:rPr>
        <w:t>选择单机调试模式，选择RFID检测模块调试。将带有电子标签的内料手动放置在该检测工位，当设置为读取模式时，按下RFID读取按钮时，触摸屏中输出该电子标签载码体的信息；当设置为写入模式时，按下RFID写入按钮时，系统将触摸屏中设置的信息写入到该电子标签载码体中。</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⑦</w:t>
      </w:r>
      <w:r>
        <w:rPr>
          <w:rFonts w:hint="eastAsia" w:ascii="Times New Roman" w:hAnsi="Times New Roman" w:eastAsia="仿宋GB2312" w:cs="Times New Roman"/>
          <w:color w:val="000000"/>
          <w:spacing w:val="4"/>
          <w:kern w:val="0"/>
          <w:sz w:val="28"/>
          <w:szCs w:val="28"/>
          <w:lang w:val="zh-Hans"/>
        </w:rPr>
        <w:t>在调试状态下，选择视觉检测与分拣选项的检测模式，当按下“视觉检测”按钮时，产品合格绿灯亮，产品不合格红灯亮。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⑧</w:t>
      </w:r>
      <w:r>
        <w:rPr>
          <w:rFonts w:hint="eastAsia" w:ascii="Times New Roman" w:hAnsi="Times New Roman" w:eastAsia="仿宋GB2312" w:cs="Times New Roman"/>
          <w:color w:val="000000"/>
          <w:spacing w:val="4"/>
          <w:kern w:val="0"/>
          <w:sz w:val="28"/>
          <w:szCs w:val="28"/>
          <w:lang w:val="zh-Hans"/>
        </w:rPr>
        <w:t>在调试状态下，选择产品搬移选项的取货模式，</w:t>
      </w:r>
      <w:bookmarkStart w:id="4" w:name="_Hlk132391268"/>
      <w:r>
        <w:rPr>
          <w:rFonts w:hint="eastAsia" w:ascii="Times New Roman" w:hAnsi="Times New Roman" w:eastAsia="仿宋GB2312" w:cs="Times New Roman"/>
          <w:color w:val="000000"/>
          <w:spacing w:val="4"/>
          <w:kern w:val="0"/>
          <w:sz w:val="28"/>
          <w:szCs w:val="28"/>
          <w:lang w:val="zh-Hans"/>
        </w:rPr>
        <w:t>按下设置的“取货”按钮</w:t>
      </w:r>
      <w:bookmarkEnd w:id="4"/>
      <w:r>
        <w:rPr>
          <w:rFonts w:hint="eastAsia" w:ascii="Times New Roman" w:hAnsi="Times New Roman" w:eastAsia="仿宋GB2312" w:cs="Times New Roman"/>
          <w:color w:val="000000"/>
          <w:spacing w:val="4"/>
          <w:kern w:val="0"/>
          <w:sz w:val="28"/>
          <w:szCs w:val="28"/>
          <w:lang w:val="zh-Hans"/>
        </w:rPr>
        <w:t>，机械搬移系统完成将货物“拾起”动作；当选择“仓储”模式，按下设置的“仓储”按钮，机械搬移系统可以实现将“拾起”的产品送到指定的仓储位置。搬移过程中，搬移过程中，</w:t>
      </w:r>
      <w:bookmarkStart w:id="5" w:name="_Hlk132498503"/>
      <w:r>
        <w:rPr>
          <w:rFonts w:hint="eastAsia" w:ascii="Times New Roman" w:hAnsi="Times New Roman" w:eastAsia="仿宋GB2312" w:cs="Times New Roman"/>
          <w:color w:val="000000"/>
          <w:spacing w:val="4"/>
          <w:kern w:val="0"/>
          <w:sz w:val="28"/>
          <w:szCs w:val="28"/>
          <w:lang w:val="zh-Hans"/>
        </w:rPr>
        <w:t>搬移机构的水平两轴按X先Y后次序，将产品按ABCDE顺序位置摆放</w:t>
      </w:r>
      <w:bookmarkEnd w:id="5"/>
      <w:r>
        <w:rPr>
          <w:rFonts w:hint="eastAsia" w:ascii="Times New Roman" w:hAnsi="Times New Roman" w:eastAsia="仿宋GB2312" w:cs="Times New Roman"/>
          <w:color w:val="000000"/>
          <w:spacing w:val="4"/>
          <w:kern w:val="0"/>
          <w:sz w:val="28"/>
          <w:szCs w:val="28"/>
          <w:lang w:val="zh-Hans"/>
        </w:rPr>
        <w:t>。</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⑨</w:t>
      </w:r>
      <w:r>
        <w:rPr>
          <w:rFonts w:hint="eastAsia" w:ascii="Times New Roman" w:hAnsi="Times New Roman" w:eastAsia="仿宋GB2312" w:cs="Times New Roman"/>
          <w:color w:val="000000"/>
          <w:spacing w:val="4"/>
          <w:kern w:val="0"/>
          <w:sz w:val="28"/>
          <w:szCs w:val="28"/>
          <w:lang w:val="zh-Hans"/>
        </w:rPr>
        <w:t>在调试状态下，选择“系统联调”选项，操作员使用FRID卡或其生物信息（指纹、人脸识别）进行人机交互时，系统自检待机状态；操作人员通过触摸屏在MES中下达生产任务时，系统进入自动组装生产循环运行状态。首先，送料模块A将外料送到传送带上气缸回缩，传送带将外料送到装配位置，送料模块A将外料送到传送带上气缸回缩，并进行高度检测与分拣、视觉检测与分拣、FRID产品信息录入等，然后将合格产品送到九宫格仓储的指定位置。搬移过程中，搬移过程中，搬移机构的水平两轴按X先Y后次序，将产品按ABCDE顺序位置摆放。</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⑩</w:t>
      </w:r>
      <w:r>
        <w:rPr>
          <w:rFonts w:hint="eastAsia" w:ascii="Times New Roman" w:hAnsi="Times New Roman" w:eastAsia="仿宋GB2312" w:cs="Times New Roman"/>
          <w:color w:val="000000"/>
          <w:spacing w:val="4"/>
          <w:kern w:val="0"/>
          <w:sz w:val="28"/>
          <w:szCs w:val="28"/>
          <w:lang w:val="zh-Hans"/>
        </w:rPr>
        <w:t>在调试状态下，选择“可视化”选项，系统能够在自动运行情况下，实现整个系统运行状态图和相关数据显示。还可实现能耗和二氧化碳排放显示。</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w:t>
      </w:r>
      <w:r>
        <w:rPr>
          <w:rFonts w:ascii="Times New Roman" w:hAnsi="Times New Roman" w:eastAsia="PMingLiU" w:cs="Times New Roman"/>
          <w:b/>
          <w:bCs/>
          <w:color w:val="000000"/>
          <w:spacing w:val="4"/>
          <w:kern w:val="0"/>
          <w:sz w:val="28"/>
          <w:szCs w:val="28"/>
          <w:lang w:val="zh-Hans" w:eastAsia="zh-TW"/>
        </w:rPr>
        <w:t>2</w:t>
      </w:r>
      <w:r>
        <w:rPr>
          <w:rFonts w:hint="eastAsia" w:ascii="Times New Roman" w:hAnsi="Times New Roman" w:eastAsia="仿宋GB2312" w:cs="Times New Roman"/>
          <w:b/>
          <w:bCs/>
          <w:color w:val="000000"/>
          <w:spacing w:val="4"/>
          <w:kern w:val="0"/>
          <w:sz w:val="28"/>
          <w:szCs w:val="28"/>
          <w:lang w:val="zh-Hans"/>
        </w:rPr>
        <w:t>：故障诊断调试模拟故障调试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当在调试状态下，选择 “故障模拟”时，系统能够在可视化系统上显示“故障”。故障现象包括总电源故障、光电位置传感器失灵、推料气缸卡死、输送带电机掉电、搬移装置三轴电机人一个出现掉电，等等，在正常运行开始几个组装周期后，系统随机产生其中一个故障，系统停止运行，并进行声光报警，通知运维人员故障排除。</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w:t>
      </w:r>
      <w:r>
        <w:rPr>
          <w:rFonts w:ascii="Times New Roman" w:hAnsi="Times New Roman" w:eastAsia="仿宋GB2312" w:cs="Times New Roman"/>
          <w:b/>
          <w:bCs/>
          <w:color w:val="000000"/>
          <w:spacing w:val="4"/>
          <w:kern w:val="0"/>
          <w:sz w:val="28"/>
          <w:szCs w:val="28"/>
        </w:rPr>
        <w:t>3</w:t>
      </w:r>
      <w:r>
        <w:rPr>
          <w:rFonts w:hint="eastAsia" w:ascii="Times New Roman" w:hAnsi="Times New Roman" w:eastAsia="仿宋GB2312" w:cs="Times New Roman"/>
          <w:b/>
          <w:bCs/>
          <w:color w:val="000000"/>
          <w:spacing w:val="4"/>
          <w:kern w:val="0"/>
          <w:sz w:val="28"/>
          <w:szCs w:val="28"/>
          <w:lang w:val="zh-Hans"/>
        </w:rPr>
        <w:t>：撰写《竞赛总结》。保存到“D:\赛位号”。</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rPr>
        <w:t>综合任务</w:t>
      </w:r>
      <w:r>
        <w:rPr>
          <w:rFonts w:hint="eastAsia" w:ascii="Times New Roman" w:hAnsi="Times New Roman" w:eastAsia="仿宋GB2312" w:cs="Times New Roman"/>
          <w:b/>
          <w:bCs/>
          <w:color w:val="000000"/>
          <w:spacing w:val="4"/>
          <w:kern w:val="0"/>
          <w:sz w:val="28"/>
          <w:szCs w:val="28"/>
          <w:lang w:val="zh-Hans"/>
        </w:rPr>
        <w:t>：职业素养</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考查选手操作过程中的安全规范；设施设备、工具仪器使用情况；卫生清洁情况；穿戴规范；工作纪律，文明礼貌等。由现场裁判进行过程记录、现场评分、选手确认。</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 xml:space="preserve">在任务施工过程中正确选择设备，安全可靠的使用工具，设备安装稳固、部件均匀排布、行列对齐、间距相等、整齐美观；布线合理、所有线都装入线槽。施工完成后需对地板卫生进行打扫、对桌面进行整理、对工具设备进行还原。 </w:t>
      </w:r>
    </w:p>
    <w:p>
      <w:pPr>
        <w:rPr>
          <w:lang w:val="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GB2312">
    <w:altName w:val="仿宋"/>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0NmEwMjg4MWZjNzdjOWRkZmY4NWE3MzcyODk3MGMifQ=="/>
  </w:docVars>
  <w:rsids>
    <w:rsidRoot w:val="003B2684"/>
    <w:rsid w:val="00011907"/>
    <w:rsid w:val="000277B7"/>
    <w:rsid w:val="000369F4"/>
    <w:rsid w:val="000624B5"/>
    <w:rsid w:val="00095441"/>
    <w:rsid w:val="000B1059"/>
    <w:rsid w:val="000E54D7"/>
    <w:rsid w:val="000F11F2"/>
    <w:rsid w:val="0012079F"/>
    <w:rsid w:val="0012240E"/>
    <w:rsid w:val="00191FC7"/>
    <w:rsid w:val="001B6179"/>
    <w:rsid w:val="001B767C"/>
    <w:rsid w:val="001E5173"/>
    <w:rsid w:val="001F5B13"/>
    <w:rsid w:val="0025094B"/>
    <w:rsid w:val="00265A87"/>
    <w:rsid w:val="002758FA"/>
    <w:rsid w:val="002842D6"/>
    <w:rsid w:val="00284BA9"/>
    <w:rsid w:val="00294CBA"/>
    <w:rsid w:val="002A509E"/>
    <w:rsid w:val="002C1C3F"/>
    <w:rsid w:val="002C60E3"/>
    <w:rsid w:val="002F79AF"/>
    <w:rsid w:val="00325B99"/>
    <w:rsid w:val="0037494A"/>
    <w:rsid w:val="00375A03"/>
    <w:rsid w:val="003975D8"/>
    <w:rsid w:val="003A2418"/>
    <w:rsid w:val="003B2684"/>
    <w:rsid w:val="003E4BD5"/>
    <w:rsid w:val="003F6DE8"/>
    <w:rsid w:val="00431815"/>
    <w:rsid w:val="00444BD5"/>
    <w:rsid w:val="00460541"/>
    <w:rsid w:val="00467397"/>
    <w:rsid w:val="004A61B0"/>
    <w:rsid w:val="004D0509"/>
    <w:rsid w:val="004F0C67"/>
    <w:rsid w:val="00500E2C"/>
    <w:rsid w:val="0051487B"/>
    <w:rsid w:val="005640AF"/>
    <w:rsid w:val="00566C98"/>
    <w:rsid w:val="00577476"/>
    <w:rsid w:val="005C3082"/>
    <w:rsid w:val="005D71C3"/>
    <w:rsid w:val="005E5F08"/>
    <w:rsid w:val="00626E8F"/>
    <w:rsid w:val="00626F11"/>
    <w:rsid w:val="00627B1C"/>
    <w:rsid w:val="006436E4"/>
    <w:rsid w:val="00650CEB"/>
    <w:rsid w:val="00654B87"/>
    <w:rsid w:val="006C079E"/>
    <w:rsid w:val="006E5441"/>
    <w:rsid w:val="006E6037"/>
    <w:rsid w:val="006E6D14"/>
    <w:rsid w:val="007028AD"/>
    <w:rsid w:val="00731930"/>
    <w:rsid w:val="00743321"/>
    <w:rsid w:val="0076417C"/>
    <w:rsid w:val="007A67C0"/>
    <w:rsid w:val="007F2AAD"/>
    <w:rsid w:val="00810FC3"/>
    <w:rsid w:val="00822025"/>
    <w:rsid w:val="0084277A"/>
    <w:rsid w:val="0085154D"/>
    <w:rsid w:val="00865683"/>
    <w:rsid w:val="008A0DC3"/>
    <w:rsid w:val="008A7F20"/>
    <w:rsid w:val="008C17D0"/>
    <w:rsid w:val="008C3D71"/>
    <w:rsid w:val="008C519D"/>
    <w:rsid w:val="008D18B2"/>
    <w:rsid w:val="008F5974"/>
    <w:rsid w:val="00910D40"/>
    <w:rsid w:val="009231A1"/>
    <w:rsid w:val="0093268F"/>
    <w:rsid w:val="009373BA"/>
    <w:rsid w:val="009445FE"/>
    <w:rsid w:val="009C1ED5"/>
    <w:rsid w:val="00A05CA4"/>
    <w:rsid w:val="00A32E7A"/>
    <w:rsid w:val="00A6136D"/>
    <w:rsid w:val="00AA3858"/>
    <w:rsid w:val="00B019E2"/>
    <w:rsid w:val="00B234F3"/>
    <w:rsid w:val="00B2757D"/>
    <w:rsid w:val="00B93155"/>
    <w:rsid w:val="00B97888"/>
    <w:rsid w:val="00BA074C"/>
    <w:rsid w:val="00BA7BE6"/>
    <w:rsid w:val="00BB7A34"/>
    <w:rsid w:val="00BD1F82"/>
    <w:rsid w:val="00C057D0"/>
    <w:rsid w:val="00C0762F"/>
    <w:rsid w:val="00C30526"/>
    <w:rsid w:val="00C31202"/>
    <w:rsid w:val="00C62B2C"/>
    <w:rsid w:val="00C6375D"/>
    <w:rsid w:val="00C651F5"/>
    <w:rsid w:val="00C7603F"/>
    <w:rsid w:val="00C93195"/>
    <w:rsid w:val="00CE205C"/>
    <w:rsid w:val="00D148B3"/>
    <w:rsid w:val="00D17456"/>
    <w:rsid w:val="00D34383"/>
    <w:rsid w:val="00D528CB"/>
    <w:rsid w:val="00D55E6C"/>
    <w:rsid w:val="00D70762"/>
    <w:rsid w:val="00D742EF"/>
    <w:rsid w:val="00D760B9"/>
    <w:rsid w:val="00DB04C6"/>
    <w:rsid w:val="00DB76B3"/>
    <w:rsid w:val="00DB7FF5"/>
    <w:rsid w:val="00E1164A"/>
    <w:rsid w:val="00E21636"/>
    <w:rsid w:val="00E249E8"/>
    <w:rsid w:val="00E44148"/>
    <w:rsid w:val="00E47E08"/>
    <w:rsid w:val="00E7530F"/>
    <w:rsid w:val="00EB5F5B"/>
    <w:rsid w:val="00EC281F"/>
    <w:rsid w:val="00ED49E1"/>
    <w:rsid w:val="00EF7D82"/>
    <w:rsid w:val="00F01034"/>
    <w:rsid w:val="00F15D56"/>
    <w:rsid w:val="00F35436"/>
    <w:rsid w:val="00F35976"/>
    <w:rsid w:val="00F5731E"/>
    <w:rsid w:val="00F82A66"/>
    <w:rsid w:val="00FC020C"/>
    <w:rsid w:val="00FE1C36"/>
    <w:rsid w:val="00FE4BF3"/>
    <w:rsid w:val="00FE78CF"/>
    <w:rsid w:val="00FF2A6A"/>
    <w:rsid w:val="00FF702F"/>
    <w:rsid w:val="0AE950FF"/>
    <w:rsid w:val="111830CD"/>
    <w:rsid w:val="141F41E1"/>
    <w:rsid w:val="18F32203"/>
    <w:rsid w:val="1A3274E7"/>
    <w:rsid w:val="221D5271"/>
    <w:rsid w:val="24637728"/>
    <w:rsid w:val="27192916"/>
    <w:rsid w:val="2AB80B1E"/>
    <w:rsid w:val="2F8C268B"/>
    <w:rsid w:val="30135F8D"/>
    <w:rsid w:val="37E35634"/>
    <w:rsid w:val="38B6612D"/>
    <w:rsid w:val="4102368D"/>
    <w:rsid w:val="51E13E09"/>
    <w:rsid w:val="54713219"/>
    <w:rsid w:val="574D1C65"/>
    <w:rsid w:val="5D27256D"/>
    <w:rsid w:val="64F15160"/>
    <w:rsid w:val="676A6C9A"/>
    <w:rsid w:val="68916DCF"/>
    <w:rsid w:val="6C2F0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Indent"/>
    <w:basedOn w:val="1"/>
    <w:link w:val="18"/>
    <w:semiHidden/>
    <w:unhideWhenUsed/>
    <w:qFormat/>
    <w:uiPriority w:val="99"/>
    <w:pPr>
      <w:spacing w:after="120"/>
      <w:ind w:left="420" w:leftChars="200"/>
    </w:p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paragraph" w:styleId="7">
    <w:name w:val="Body Text First Indent 2"/>
    <w:basedOn w:val="3"/>
    <w:link w:val="19"/>
    <w:unhideWhenUsed/>
    <w:qFormat/>
    <w:uiPriority w:val="99"/>
    <w:pPr>
      <w:ind w:firstLine="420" w:firstLineChars="200"/>
    </w:pPr>
  </w:style>
  <w:style w:type="table" w:styleId="9">
    <w:name w:val="Table Grid"/>
    <w:basedOn w:val="8"/>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4">
    <w:name w:val="页眉 字符"/>
    <w:basedOn w:val="10"/>
    <w:link w:val="5"/>
    <w:qFormat/>
    <w:uiPriority w:val="99"/>
    <w:rPr>
      <w:kern w:val="2"/>
      <w:sz w:val="18"/>
      <w:szCs w:val="18"/>
    </w:rPr>
  </w:style>
  <w:style w:type="character" w:customStyle="1" w:styleId="15">
    <w:name w:val="页脚 字符"/>
    <w:basedOn w:val="10"/>
    <w:link w:val="4"/>
    <w:qFormat/>
    <w:uiPriority w:val="99"/>
    <w:rPr>
      <w:kern w:val="2"/>
      <w:sz w:val="18"/>
      <w:szCs w:val="18"/>
    </w:rPr>
  </w:style>
  <w:style w:type="character" w:customStyle="1" w:styleId="16">
    <w:name w:val="批注文字 字符"/>
    <w:basedOn w:val="10"/>
    <w:link w:val="2"/>
    <w:semiHidden/>
    <w:qFormat/>
    <w:uiPriority w:val="99"/>
    <w:rPr>
      <w:kern w:val="2"/>
      <w:sz w:val="21"/>
      <w:szCs w:val="22"/>
    </w:rPr>
  </w:style>
  <w:style w:type="character" w:customStyle="1" w:styleId="17">
    <w:name w:val="批注主题 字符"/>
    <w:basedOn w:val="16"/>
    <w:link w:val="6"/>
    <w:semiHidden/>
    <w:qFormat/>
    <w:uiPriority w:val="99"/>
    <w:rPr>
      <w:b/>
      <w:bCs/>
      <w:kern w:val="2"/>
      <w:sz w:val="21"/>
      <w:szCs w:val="22"/>
    </w:rPr>
  </w:style>
  <w:style w:type="character" w:customStyle="1" w:styleId="18">
    <w:name w:val="正文文本缩进 字符"/>
    <w:basedOn w:val="10"/>
    <w:link w:val="3"/>
    <w:semiHidden/>
    <w:qFormat/>
    <w:uiPriority w:val="99"/>
    <w:rPr>
      <w:kern w:val="2"/>
      <w:sz w:val="21"/>
      <w:szCs w:val="22"/>
    </w:rPr>
  </w:style>
  <w:style w:type="character" w:customStyle="1" w:styleId="19">
    <w:name w:val="正文首行缩进 2 字符"/>
    <w:basedOn w:val="18"/>
    <w:link w:val="7"/>
    <w:qFormat/>
    <w:uiPriority w:val="99"/>
    <w:rPr>
      <w:kern w:val="2"/>
      <w:sz w:val="21"/>
      <w:szCs w:val="22"/>
    </w:rPr>
  </w:style>
  <w:style w:type="paragraph" w:customStyle="1" w:styleId="20">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860</Words>
  <Characters>4906</Characters>
  <Lines>40</Lines>
  <Paragraphs>11</Paragraphs>
  <TotalTime>9</TotalTime>
  <ScaleCrop>false</ScaleCrop>
  <LinksUpToDate>false</LinksUpToDate>
  <CharactersWithSpaces>5755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2023-04-14T12:03:00Z</dcterms:created>
  <dc:creator>002036@nuist.edu.cn</dc:creator>
  <cp:lastModifiedBy>许憨憨</cp:lastModifiedBy>
  <dcterms:modified xsi:type="dcterms:W3CDTF">2023-12-01T09:10:26Z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08D40DCA51E84F33BB11A2E5F1BE0D82_12</vt:lpwstr>
  </property>
</Properties>
</file>